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5: Interaction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4 introduced effect modification: the effect of a single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varying across levels of another variable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Many causal questions, however, concern two or more treatments applied together.</w:t>
      </w:r>
      <w:r>
        <w:t xml:space="preserve"> </w:t>
      </w:r>
      <w:r>
        <w:t xml:space="preserve">If the causal effect of one treatment depends on the value we set for the other, the two treatments</w:t>
      </w:r>
      <w:r>
        <w:t xml:space="preserve"> </w:t>
      </w:r>
      <w:r>
        <w:rPr>
          <w:b/>
          <w:bCs/>
        </w:rPr>
        <w:t xml:space="preserve">interact</w:t>
      </w:r>
      <w:r>
        <w:t xml:space="preserve">.</w:t>
      </w:r>
    </w:p>
    <w:p>
      <w:pPr>
        <w:pStyle w:val="BodyText"/>
      </w:pPr>
      <w:r>
        <w:t xml:space="preserve">This chapter defines interaction between two treatments in two frameworks:</w:t>
      </w:r>
    </w:p>
    <w:p>
      <w:pPr>
        <w:pStyle w:val="Compact"/>
        <w:numPr>
          <w:ilvl w:val="0"/>
          <w:numId w:val="1001"/>
        </w:numPr>
      </w:pPr>
      <w:r>
        <w:t xml:space="preserve">the counterfactual (potential outcomes) framework, which we have used so far;</w:t>
      </w:r>
    </w:p>
    <w:p>
      <w:pPr>
        <w:pStyle w:val="Compact"/>
        <w:numPr>
          <w:ilvl w:val="0"/>
          <w:numId w:val="1001"/>
        </w:numPr>
      </w:pPr>
      <w:r>
        <w:t xml:space="preserve">the sufficient-component-cause framework, which describes causal mechanisms.</w:t>
      </w:r>
    </w:p>
    <w:p>
      <w:pPr>
        <w:pStyle w:val="FirstParagraph"/>
      </w:pPr>
      <w:r>
        <w:t xml:space="preserve">This chapter is based on</w:t>
      </w:r>
      <w:r>
        <w:t xml:space="preserve"> </w:t>
      </w:r>
      <w:r>
        <w:t xml:space="preserve">Hernán and Robins (2020, chap. 5, pp. 61-74)</w:t>
      </w:r>
      <w:r>
        <w:t xml:space="preserve">.</w:t>
      </w:r>
    </w:p>
    <w:p>
      <w:pPr>
        <w:pStyle w:val="BodyText"/>
      </w:pPr>
      <w:r>
        <w:t xml:space="preserve">The book motivates the chapter with the</w:t>
      </w:r>
      <w:r>
        <w:t xml:space="preserve"> </w:t>
      </w:r>
      <w:r>
        <w:t xml:space="preserve">“looking up”</w:t>
      </w:r>
      <w:r>
        <w:t xml:space="preserve"> </w:t>
      </w:r>
      <w:r>
        <w:t xml:space="preserve">experiment from Chapter 1:</w:t>
      </w:r>
      <w:r>
        <w:t xml:space="preserve"> </w:t>
      </w:r>
      <w:r>
        <w:t xml:space="preserve">suppose we randomize not only whether you look up at the sky</w:t>
      </w:r>
      <w:r>
        <w:t xml:space="preserve"> </w:t>
      </w:r>
      <w:r>
        <w:t xml:space="preserve">but also whether you stand in the street dressed or naked.</w:t>
      </w:r>
      <w:r>
        <w:t xml:space="preserve"> </w:t>
      </w:r>
      <w:r>
        <w:t xml:space="preserve">If the effect of looking up differs between the dressed and naked conditions,</w:t>
      </w:r>
      <w:r>
        <w:t xml:space="preserve"> </w:t>
      </w:r>
      <w:r>
        <w:t xml:space="preserve">the two treatments interact.</w:t>
      </w:r>
      <w:r>
        <w:t xml:space="preserve"> </w:t>
      </w:r>
      <w:r>
        <w:t xml:space="preserve">When joint interventions are feasible, knowing about interaction tells us which combination of interventions works best.</w:t>
      </w:r>
    </w:p>
    <w:bookmarkStart w:id="19" w:name="X56f99c51021ec8fdc81b86435c9582bdf612b2d"/>
    <w:p>
      <w:pPr>
        <w:pStyle w:val="Heading2"/>
      </w:pPr>
      <w:r>
        <w:t xml:space="preserve">1 5.1 Interaction Requires a Joint Intervention (pp. 61-62)</w:t>
      </w:r>
    </w:p>
    <w:p>
      <w:r>
        <w:pict>
          <v:rect style="width:0;height:1.5pt" o:hralign="center" o:hrstd="t" o:hr="t"/>
        </w:pict>
      </w:r>
    </w:p>
    <w:bookmarkStart w:id="10" w:name="joint-interventions"/>
    <w:p>
      <w:pPr>
        <w:pStyle w:val="Heading3"/>
      </w:pPr>
      <w:r>
        <w:t xml:space="preserve">1.1 Joint Interventions</w:t>
      </w:r>
    </w:p>
    <w:p>
      <w:pPr>
        <w:pStyle w:val="FirstParagraph"/>
      </w:pPr>
      <w:r>
        <w:t xml:space="preserve">Extend the heart transplant example with a second treatment:</w:t>
      </w:r>
    </w:p>
    <w:p>
      <w:pPr>
        <w:pStyle w:val="Compact"/>
        <w:numPr>
          <w:ilvl w:val="0"/>
          <w:numId w:val="1002"/>
        </w:numPr>
      </w:pPr>
      <m:oMath>
        <m:r>
          <m:t>A</m:t>
        </m:r>
      </m:oMath>
      <w:r>
        <w:t xml:space="preserve">: heart transplant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or not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);</w:t>
      </w:r>
    </w:p>
    <w:p>
      <w:pPr>
        <w:pStyle w:val="Compact"/>
        <w:numPr>
          <w:ilvl w:val="0"/>
          <w:numId w:val="1002"/>
        </w:numPr>
      </w:pPr>
      <m:oMath>
        <m:r>
          <m:t>E</m:t>
        </m:r>
      </m:oMath>
      <w:r>
        <w:t xml:space="preserve">: multivitamin complex (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) or no vitamins (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Each individual now has four counterfactual outcomes,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, 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joint-intervention"/>
          <w:p>
            <w:pPr>
              <w:pStyle w:val="BodyText"/>
            </w:pPr>
            <w:r>
              <w:rPr>
                <w:b/>
                <w:bCs/>
              </w:rPr>
              <w:t xml:space="preserve">Definition 1 (Joint Intervention and Joint Counterfactual)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joint intervention</w:t>
            </w:r>
            <w:r>
              <w:t xml:space="preserve"> </w:t>
            </w:r>
            <w:r>
              <w:t xml:space="preserve">sets two or more treatments at once.</w:t>
            </w:r>
            <w:r>
              <w:t xml:space="preserve"> </w:t>
            </w:r>
            <w:r>
              <w:t xml:space="preserve">The counterfactual outcome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the outcome that would have been observed</w:t>
            </w:r>
            <w:r>
              <w:t xml:space="preserve"> </w:t>
            </w:r>
            <w:r>
              <w:t xml:space="preserve">had we intervened to set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rPr>
          <w:b/>
          <w:bCs/>
        </w:rPr>
        <w:t xml:space="preserve">Recursive substitution</w:t>
      </w:r>
      <w:r>
        <w:t xml:space="preserve"> </w:t>
      </w:r>
      <w:r>
        <w:t xml:space="preserve">(Hernán and Robins 2020, 61, margin note)</w:t>
      </w:r>
      <w:r>
        <w:t xml:space="preserve">.</w:t>
      </w:r>
      <w:r>
        <w:t xml:space="preserve"> </w:t>
      </w:r>
      <w:r>
        <w:t xml:space="preserve">The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under an intervention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alone</w:t>
      </w:r>
      <w:r>
        <w:t xml:space="preserve"> </w:t>
      </w:r>
      <w:r>
        <w:t xml:space="preserve">is the joint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 </w:t>
      </w:r>
      <w:r>
        <w:t xml:space="preserve">evaluated at the value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actually takes: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.</w:t>
      </w:r>
      <w:r>
        <w:t xml:space="preserve"> </w:t>
      </w:r>
      <w:r>
        <w:t xml:space="preserve">Consistency is a special case of the same substitution:</w:t>
      </w:r>
      <w:r>
        <w:t xml:space="preserve"> </w:t>
      </w:r>
      <w:r>
        <w:t xml:space="preserve">the observed outcome is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3" w:name="X655c230df54ed76b1a361ed763747b8960f150d"/>
    <w:p>
      <w:pPr>
        <w:pStyle w:val="Heading3"/>
      </w:pPr>
      <w:r>
        <w:t xml:space="preserve">1.2 Interaction in the Counterfactual Framework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interaction-additive"/>
          <w:p>
            <w:pPr>
              <w:pStyle w:val="BodyText"/>
            </w:pPr>
            <w:r>
              <w:rPr>
                <w:b/>
                <w:bCs/>
              </w:rPr>
              <w:t xml:space="preserve">Definition 2 (Interaction on the Additive Scale)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interaction between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E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on the additive scale</w:t>
            </w:r>
            <w:r>
              <w:t xml:space="preserve"> </w:t>
            </w:r>
            <w:r>
              <w:t xml:space="preserve">in the population if</w:t>
            </w:r>
            <w:r>
              <w:t xml:space="preserve"> </w:t>
            </w:r>
            <w:r>
              <w:t xml:space="preserve">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everybody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differs from 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nobody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≠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exm-transplant-vitamins"/>
          <w:p>
            <w:pPr>
              <w:pStyle w:val="BodyText"/>
            </w:pPr>
            <w:r>
              <w:rPr>
                <w:b/>
                <w:bCs/>
              </w:rPr>
              <w:t xml:space="preserve">Example 1 (Transplant and Vitamins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61–62)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the causal risk difference for transplant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0.1</m:t>
              </m:r>
            </m:oMath>
            <w:r>
              <w:t xml:space="preserve"> </w:t>
            </w:r>
            <w:r>
              <w:t xml:space="preserve">when everybody receives vitamins: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0.2</m:t>
              </m:r>
            </m:oMath>
            <w:r>
              <w:t xml:space="preserve"> </w:t>
            </w:r>
            <w:r>
              <w:t xml:space="preserve">when nobody receives vitamins: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t>0.1</m:t>
              </m:r>
              <m:r>
                <m:rPr>
                  <m:sty m:val="p"/>
                </m:rPr>
                <m:t>≠</m:t>
              </m:r>
              <m:r>
                <m:t>0.2</m:t>
              </m:r>
            </m:oMath>
            <w:r>
              <w:t xml:space="preserve">, transplant and vitamins interact on the additive scale.</w:t>
            </w:r>
          </w:p>
          <w:bookmarkEnd w:id="12"/>
        </w:tc>
      </w:tr>
    </w:tbl>
    <w:p>
      <w:r>
        <w:pict>
          <v:rect style="width:0;height:1.5pt" o:hralign="center" o:hrstd="t" o:hr="t"/>
        </w:pict>
      </w:r>
    </w:p>
    <w:bookmarkEnd w:id="13"/>
    <w:bookmarkStart w:id="17" w:name="a-and-e-have-equal-status"/>
    <w:p>
      <w:pPr>
        <w:pStyle w:val="Heading3"/>
      </w:pPr>
      <w:r>
        <w:t xml:space="preserve">1.3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Have Equal Status</w:t>
      </w:r>
    </w:p>
    <w:p>
      <w:pPr>
        <w:pStyle w:val="FirstParagraph"/>
      </w:pPr>
      <w:r>
        <w:t xml:space="preserve">Write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  <m:r>
              <m:t>e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Moving terms across the inequality in</w:t>
      </w:r>
      <w:r>
        <w:t xml:space="preserve"> 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shows that</w:t>
      </w:r>
      <w:r>
        <w:t xml:space="preserve"> </w:t>
      </w:r>
      <w:r>
        <w:t xml:space="preserve">the same condition can be stated with the roles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swapped: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e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nor/>
                  <m:sty m:val="p"/>
                </m:rPr>
                <m:t> from both sides)</m:t>
              </m:r>
            </m:e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nor/>
                  <m:sty m:val="p"/>
                </m:rPr>
                <m:t> to both sides)</m:t>
              </m:r>
            </m:e>
          </m:eqArr>
        </m:oMath>
      </m:oMathPara>
    </w:p>
    <w:p>
      <w:pPr>
        <w:pStyle w:val="FirstParagraph"/>
      </w:pPr>
      <w:r>
        <w:t xml:space="preserve">The last line says that the causal risk difference for vitamins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differs between</w:t>
      </w:r>
      <w:r>
        <w:t xml:space="preserve"> </w:t>
      </w:r>
      <w:r>
        <w:t xml:space="preserve">“everybody transplanted”</w:t>
      </w:r>
      <w:r>
        <w:t xml:space="preserve"> </w:t>
      </w:r>
      <w:r>
        <w:t xml:space="preserve">and</w:t>
      </w:r>
      <w:r>
        <w:t xml:space="preserve"> </w:t>
      </w:r>
      <w:r>
        <w:t xml:space="preserve">“nobody transplanted”</w:t>
      </w:r>
      <w:r>
        <w:t xml:space="preserve">.</w:t>
      </w:r>
    </w:p>
    <w:p>
      <w:pPr>
        <w:pStyle w:val="BodyText"/>
      </w:pPr>
      <w:r>
        <w:t xml:space="preserve">In</w:t>
      </w:r>
      <w:r>
        <w:t xml:space="preserve"> </w:t>
      </w:r>
      <w:hyperlink w:anchor="exm-transplant-vitamins">
        <w:r>
          <w:rPr>
            <w:rStyle w:val="Hyperlink"/>
          </w:rPr>
          <w:t xml:space="preserve">Example 1</w:t>
        </w:r>
      </w:hyperlink>
      <w:r>
        <w:t xml:space="preserve">, the middle line gives</w:t>
      </w:r>
      <w:r>
        <w:t xml:space="preserve"> </w:t>
      </w:r>
      <m:oMath>
        <m:sSub>
          <m:e>
            <m:r>
              <m:t>p</m:t>
            </m:r>
          </m:e>
          <m:sub>
            <m:r>
              <m:t>11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01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+</m:t>
        </m:r>
        <m:sSub>
          <m:e>
            <m:r>
              <m:t>p</m:t>
            </m:r>
          </m:e>
          <m:sub>
            <m:r>
              <m:t>00</m:t>
            </m:r>
          </m:sub>
        </m:sSub>
        <m:r>
          <m:rPr>
            <m:sty m:val="p"/>
          </m:rPr>
          <m:t>=</m:t>
        </m:r>
        <m:r>
          <m:t>0.1</m:t>
        </m:r>
        <m:r>
          <m:rPr>
            <m:sty m:val="p"/>
          </m:rPr>
          <m:t>−</m:t>
        </m:r>
        <m:r>
          <m:t>0.2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0.1</m:t>
        </m:r>
      </m:oMath>
      <w:r>
        <w:t xml:space="preserve">,</w:t>
      </w:r>
      <w:r>
        <w:t xml:space="preserve"> </w:t>
      </w:r>
      <w:r>
        <w:t xml:space="preserve">so the last line gives</w:t>
      </w:r>
      <w:r>
        <w:t xml:space="preserve"> </w:t>
      </w:r>
      <m:oMath>
        <m:sSub>
          <m:e>
            <m:r>
              <m:t>p</m:t>
            </m:r>
          </m:e>
          <m:sub>
            <m:r>
              <m:t>11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p</m:t>
            </m:r>
          </m:e>
          <m:sub>
            <m:r>
              <m:t>01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00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−</m:t>
        </m:r>
        <m:r>
          <m:t>0.1</m:t>
        </m:r>
      </m:oMath>
      <w:r>
        <w:t xml:space="preserve">:</w:t>
      </w:r>
      <w:r>
        <w:t xml:space="preserve"> </w:t>
      </w:r>
      <w:r>
        <w:t xml:space="preserve">the risk difference for vitamins is</w:t>
      </w:r>
      <w:r>
        <w:t xml:space="preserve"> </w:t>
      </w:r>
      <m:oMath>
        <m:r>
          <m:t>0.1</m:t>
        </m:r>
      </m:oMath>
      <w:r>
        <w:t xml:space="preserve"> </w:t>
      </w:r>
      <w:r>
        <w:t xml:space="preserve">lower among the transplanted than among the untransplanted,</w:t>
      </w:r>
      <w:r>
        <w:t xml:space="preserve"> </w:t>
      </w:r>
      <w:r>
        <w:t xml:space="preserve">which is the book’s statement that the inequality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implies the corresponding inequality for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(Hernán and Robins 2020, 62)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5.1: Additive and Multiplicative Scales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No interaction on the additive scale means</w:t>
            </w:r>
            <w:r>
              <w:t xml:space="preserve"> </w:t>
            </w:r>
            <w:r>
              <w:t xml:space="preserve">the joint effect is the sum of the two separate effects: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When the two sides differ, the interaction 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superadditive</w:t>
            </w:r>
            <w:r>
              <w:t xml:space="preserve"> </w:t>
            </w:r>
            <w:r>
              <w:t xml:space="preserve">if the left side is greater (</w:t>
            </w:r>
            <m:oMath>
              <m:r>
                <m:rPr>
                  <m:sty m:val="p"/>
                </m:rPr>
                <m:t>&gt;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subadditive</w:t>
            </w:r>
            <w:r>
              <w:t xml:space="preserve"> </w:t>
            </w:r>
            <w:r>
              <w:t xml:space="preserve">if the left side is smaller (</w:t>
            </w:r>
            <m:oMath>
              <m:r>
                <m:rPr>
                  <m:sty m:val="p"/>
                </m:rPr>
                <m:t>&lt;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On the</w:t>
            </w:r>
            <w:r>
              <w:t xml:space="preserve"> </w:t>
            </w:r>
            <w:r>
              <w:rPr>
                <w:b/>
                <w:bCs/>
              </w:rPr>
              <w:t xml:space="preserve">multiplicative scale</w:t>
            </w:r>
            <w:r>
              <w:t xml:space="preserve"> </w:t>
            </w:r>
            <w:r>
              <w:t xml:space="preserve">(causal risk ratios),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interact 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≠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×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supermultiplicative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&gt;</m:t>
              </m:r>
            </m:oMath>
            <w:r>
              <w:t xml:space="preserve">) and</w:t>
            </w:r>
            <w:r>
              <w:t xml:space="preserve"> </w:t>
            </w:r>
            <w:r>
              <w:rPr>
                <w:b/>
                <w:bCs/>
              </w:rPr>
              <w:t xml:space="preserve">submultiplicative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&lt;</m:t>
              </m:r>
            </m:oMath>
            <w:r>
              <w:t xml:space="preserve">) interaction defined analogously.</w:t>
            </w:r>
          </w:p>
          <w:p>
            <w:pPr>
              <w:pStyle w:val="BodyText"/>
            </w:pPr>
            <w:r>
              <w:t xml:space="preserve">The additive form follows from the definition in two steps</w:t>
            </w:r>
            <w:r>
              <w:t xml:space="preserve"> </w:t>
            </w:r>
            <w:r>
              <w:t xml:space="preserve">(Hernán and Robins 2020, Technical Point 5.1, p. 63)</w:t>
            </w:r>
            <w:r>
              <w:t xml:space="preserve">.</w:t>
            </w:r>
            <w:r>
              <w:t xml:space="preserve"> </w:t>
            </w:r>
            <w:r>
              <w:t xml:space="preserve">No interaction means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</m:oMath>
            <w:r>
              <w:t xml:space="preserve"> </w:t>
            </w:r>
            <w:r>
              <w:t xml:space="preserve">to both sides gives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Subtracting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 </w:t>
            </w:r>
            <w:r>
              <w:t xml:space="preserve">from both sides gives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displayed equality.</w:t>
            </w:r>
          </w:p>
          <w:p>
            <w:pPr>
              <w:pStyle w:val="BodyText"/>
            </w:pPr>
            <w:r>
              <w:t xml:space="preserve">Subtracting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 </w:t>
            </w:r>
            <w:r>
              <w:t xml:space="preserve">leaves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in</w:t>
            </w:r>
            <w:r>
              <w:t xml:space="preserve"> </w:t>
            </w:r>
            <w:hyperlink w:anchor="exm-transplant-vitamins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(where that quantity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0.1</m:t>
              </m:r>
            </m:oMath>
            <w:r>
              <w:t xml:space="preserve">)</w:t>
            </w:r>
            <w:r>
              <w:t xml:space="preserve"> </w:t>
            </w:r>
            <w:r>
              <w:t xml:space="preserve">the interaction is subadditive.</w:t>
            </w:r>
          </w:p>
          <w:p/>
        </w:tc>
      </w:tr>
    </w:tbl>
    <w:bookmarkEnd w:id="17"/>
    <w:bookmarkStart w:id="18" w:name="interaction-versus-effect-modification"/>
    <w:p>
      <w:pPr>
        <w:pStyle w:val="Heading3"/>
      </w:pPr>
      <w:r>
        <w:t xml:space="preserve">1.4 Interaction versus Effect Modification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Effect modification by</w:t>
            </w:r>
            <w:r>
              <w:t xml:space="preserve"> </w:t>
            </w:r>
            <m:oMath>
              <m:r>
                <m:t>V</m:t>
              </m:r>
            </m:oMath>
          </w:p>
        </w:tc>
        <w:tc>
          <w:tcPr/>
          <w:p>
            <w:pPr>
              <w:pStyle w:val="Compact"/>
            </w:pPr>
            <w:r>
              <w:t xml:space="preserve">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Counterfactuals involved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Interventions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only</w:t>
            </w:r>
          </w:p>
        </w:tc>
        <w:tc>
          <w:tcPr/>
          <w:p>
            <w:pPr>
              <w:pStyle w:val="Compact"/>
            </w:pPr>
            <w:r>
              <w:t xml:space="preserve">joint,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Status of the two variables</w:t>
            </w:r>
          </w:p>
        </w:tc>
        <w:tc>
          <w:tcPr/>
          <w:p>
            <w:pPr>
              <w:pStyle w:val="Compact"/>
            </w:pPr>
            <w:r>
              <w:t xml:space="preserve">unequal: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not intervened on</w:t>
            </w:r>
          </w:p>
        </w:tc>
        <w:tc>
          <w:tcPr/>
          <w:p>
            <w:pPr>
              <w:pStyle w:val="Compact"/>
            </w:pPr>
            <w:r>
              <w:t xml:space="preserve">equal</w:t>
            </w:r>
          </w:p>
        </w:tc>
      </w:tr>
    </w:tbl>
    <w:p>
      <w:pPr>
        <w:pStyle w:val="BodyText"/>
      </w:pPr>
      <w:r>
        <w:t xml:space="preserve">Effect modification is about the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only.</w:t>
      </w:r>
      <w:r>
        <w:t xml:space="preserve"> </w:t>
      </w:r>
      <w:r>
        <w:t xml:space="preserve">In Chapter 4, sex modified the effect of transplant,</w:t>
      </w:r>
      <w:r>
        <w:t xml:space="preserve"> </w:t>
      </w:r>
      <w:r>
        <w:t xml:space="preserve">but the effect of sex on death was never considered,</w:t>
      </w:r>
      <w:r>
        <w:t xml:space="preserve"> </w:t>
      </w:r>
      <w:r>
        <w:t xml:space="preserve">so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were not on an equal footing.</w:t>
      </w:r>
      <w:r>
        <w:t xml:space="preserve"> </w:t>
      </w:r>
      <w:r>
        <w:t xml:space="preserve">Interaction concerns the joint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and its two equivalent definitions treat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symmetrically</w:t>
      </w:r>
      <w:r>
        <w:t xml:space="preserve"> </w:t>
      </w:r>
      <w:r>
        <w:t xml:space="preserve">(Hernán and Robins 2020, 62)</w:t>
      </w:r>
      <w:r>
        <w:t xml:space="preserve">.</w:t>
      </w:r>
    </w:p>
    <w:bookmarkEnd w:id="18"/>
    <w:bookmarkEnd w:id="19"/>
    <w:bookmarkStart w:id="23" w:name="identifying-interaction-pp.-62-64"/>
    <w:p>
      <w:pPr>
        <w:pStyle w:val="Heading2"/>
      </w:pPr>
      <w:r>
        <w:t xml:space="preserve">2 5.2 Identifying Interaction (pp. 62-64)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Interaction concerns a joint effect, so identifying it requires</w:t>
      </w:r>
      <w:r>
        <w:t xml:space="preserve"> </w:t>
      </w:r>
      <w:r>
        <w:t xml:space="preserve">exchangeability, positivity, and consistency for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treatments.</w:t>
      </w:r>
    </w:p>
    <w:bookmarkStart w:id="20" w:name="Xcf030272910656901932dc6c4e933d873c589ae"/>
    <w:p>
      <w:pPr>
        <w:pStyle w:val="Heading3"/>
      </w:pPr>
      <w:r>
        <w:t xml:space="preserve">2.1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Is Effect Modification by</w:t>
      </w:r>
      <w:r>
        <w:t xml:space="preserve"> </w:t>
      </w:r>
      <m:oMath>
        <m:r>
          <m:t>E</m:t>
        </m:r>
      </m:oMath>
    </w:p>
    <w:p>
      <w:pPr>
        <w:pStyle w:val="FirstParagraph"/>
      </w:pPr>
      <w:r>
        <w:t xml:space="preserve">If vitamins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are randomly and unconditionally assigned,</w:t>
      </w:r>
      <w:r>
        <w:t xml:space="preserve"> </w:t>
      </w:r>
      <w:r>
        <w:t xml:space="preserve">then for each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(exchangeability for </m:t>
              </m:r>
              <m:r>
                <m:t>E</m:t>
              </m:r>
              <m:r>
                <m:rPr>
                  <m:nor/>
                  <m:sty m:val="p"/>
                </m:rPr>
                <m:t>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nor/>
                  <m:sty m:val="p"/>
                </m:rPr>
                <m:t> when 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(recursive substitution,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Substituting into</w:t>
      </w:r>
      <w:r>
        <w:t xml:space="preserve"> 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interaction on the additive scale becomes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≠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is the definition of additive effect modification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BodyText"/>
      </w:pPr>
      <w:r>
        <w:t xml:space="preserve">So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and effect modification coincide,</w:t>
      </w:r>
      <w:r>
        <w:t xml:space="preserve"> </w:t>
      </w:r>
      <w:r>
        <w:t xml:space="preserve">and the Chapter 4 methods for detecting effect modification by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apply after replacing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(Hernán and Robins 2020, 62–63)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when-e-is-not-randomized"/>
    <w:p>
      <w:pPr>
        <w:pStyle w:val="Heading3"/>
      </w:pPr>
      <w:r>
        <w:t xml:space="preserve">2.2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Not Randomized</w:t>
      </w:r>
    </w:p>
    <w:p>
      <w:pPr>
        <w:pStyle w:val="FirstParagraph"/>
      </w:pPr>
      <w:r>
        <w:t xml:space="preserve">We still need the four marginal risks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Under the usual identifying assumptions for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treatments,</w:t>
      </w:r>
      <w:r>
        <w:t xml:space="preserve"> </w:t>
      </w:r>
      <w:r>
        <w:t xml:space="preserve">they can be computed by standardization or IP weighting over the measured covariates.</w:t>
      </w:r>
    </w:p>
    <w:p>
      <w:pPr>
        <w:pStyle w:val="BodyText"/>
      </w:pPr>
      <w:r>
        <w:t xml:space="preserve">Equivalently, treat</w:t>
      </w:r>
      <w:r>
        <w:t xml:space="preserve"> </w:t>
      </w:r>
      <m:oMath>
        <m:r>
          <m:t>A</m:t>
        </m:r>
        <m:r>
          <m:t>E</m:t>
        </m:r>
      </m:oMath>
      <w:r>
        <w:t xml:space="preserve"> </w:t>
      </w:r>
      <w:r>
        <w:t xml:space="preserve">as</w:t>
      </w:r>
      <w:r>
        <w:t xml:space="preserve"> </w:t>
      </w:r>
      <w:r>
        <w:rPr>
          <w:b/>
          <w:bCs/>
        </w:rPr>
        <w:t xml:space="preserve">one treatment with four levels</w:t>
      </w:r>
      <w:r>
        <w:t xml:space="preserve"> </w:t>
      </w:r>
      <w:r>
        <w:t xml:space="preserve">(11, 01, 10, 00).</w:t>
      </w:r>
      <w:r>
        <w:t xml:space="preserve"> </w:t>
      </w:r>
      <w:r>
        <w:t xml:space="preserve">Identifying interaction is then the familiar problem of identifying the effect of a single treatment,</w:t>
      </w:r>
      <w:r>
        <w:t xml:space="preserve"> </w:t>
      </w:r>
      <w:r>
        <w:t xml:space="preserve">with more treatment values and more counterfactual outcomes.</w:t>
      </w:r>
    </w:p>
    <w:p>
      <w:pPr>
        <w:pStyle w:val="BodyText"/>
      </w:pPr>
      <w:r>
        <w:t xml:space="preserve">Hernán and Robins (2020, 64)</w:t>
      </w:r>
      <w:r>
        <w:t xml:space="preserve"> </w:t>
      </w:r>
      <w:r>
        <w:t xml:space="preserve">states that exchangeability, positivity, and consistency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are a</w:t>
      </w:r>
      <w:r>
        <w:t xml:space="preserve"> </w:t>
      </w:r>
      <w:r>
        <w:rPr>
          <w:b/>
          <w:bCs/>
        </w:rPr>
        <w:t xml:space="preserve">sufficient</w:t>
      </w:r>
      <w:r>
        <w:t xml:space="preserve"> </w:t>
      </w:r>
      <w:r>
        <w:t xml:space="preserve">condition for identifying interaction.</w:t>
      </w:r>
      <w:r>
        <w:t xml:space="preserve"> </w:t>
      </w:r>
      <w:r>
        <w:t xml:space="preserve">Part III of the book shows the condition is not necessary when the two treatments occur at different times.</w:t>
      </w:r>
      <w:r>
        <w:t xml:space="preserve"> </w:t>
      </w:r>
      <w:r>
        <w:t xml:space="preserve">After this chapter, most of Parts I and II return to a single treatment</w:t>
      </w:r>
      <w:r>
        <w:t xml:space="preserve"> </w:t>
      </w:r>
      <m:oMath>
        <m:r>
          <m:t>A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ffect-modification-without-interaction"/>
    <w:p>
      <w:pPr>
        <w:pStyle w:val="Heading3"/>
      </w:pPr>
      <w:r>
        <w:t xml:space="preserve">2.3 Effect Modification Without Interaction</w:t>
      </w:r>
    </w:p>
    <w:p>
      <w:pPr>
        <w:pStyle w:val="FirstParagraph"/>
      </w:pPr>
      <w:r>
        <w:t xml:space="preserve">If we are willing to assume exchangeability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for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randomized and we look at subgroups defined by</w:t>
      </w:r>
      <w:r>
        <w:t xml:space="preserve"> </w:t>
      </w:r>
      <m:oMath>
        <m:r>
          <m:t>E</m:t>
        </m:r>
      </m:oMath>
      <w:r>
        <w:t xml:space="preserve">),</w:t>
      </w:r>
      <w:r>
        <w:t xml:space="preserve"> </w:t>
      </w:r>
      <w:r>
        <w:t xml:space="preserve">we can assess</w:t>
      </w:r>
      <w:r>
        <w:t xml:space="preserve"> </w:t>
      </w:r>
      <w:r>
        <w:rPr>
          <w:b/>
          <w:bCs/>
        </w:rPr>
        <w:t xml:space="preserve">effect modification by</w:t>
      </w:r>
      <w:r>
        <w:rPr>
          <w:b/>
          <w:bCs/>
        </w:rPr>
        <w:t xml:space="preserve"> </w:t>
      </w:r>
      <m:oMath>
        <m:r>
          <m:t>E</m:t>
        </m:r>
      </m:oMath>
      <w:r>
        <w:t xml:space="preserve"> </w:t>
      </w:r>
      <w:r>
        <w:t xml:space="preserve">but generally not</w:t>
      </w:r>
      <w:r>
        <w:t xml:space="preserve"> </w:t>
      </w:r>
      <w:r>
        <w:rPr>
          <w:b/>
          <w:bCs/>
        </w:rPr>
        <w:t xml:space="preserve">interaction between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E</m:t>
        </m:r>
      </m:oMath>
      <w:r>
        <w:t xml:space="preserve">:</w:t>
      </w:r>
      <w:r>
        <w:t xml:space="preserve"> </w:t>
      </w:r>
      <w:r>
        <w:t xml:space="preserve">computing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within strata of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requires no assumptions about the effect of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Chapter 4 wrote such variables as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(no identifying assumptions made for them).</w:t>
      </w:r>
    </w:p>
    <w:p>
      <w:pPr>
        <w:pStyle w:val="Compact"/>
        <w:numPr>
          <w:ilvl w:val="0"/>
          <w:numId w:val="1005"/>
        </w:numPr>
      </w:pPr>
      <w:r>
        <w:t xml:space="preserve">Nationality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was a</w:t>
      </w:r>
      <w:r>
        <w:t xml:space="preserve"> </w:t>
      </w:r>
      <w:r>
        <w:rPr>
          <w:b/>
          <w:bCs/>
        </w:rPr>
        <w:t xml:space="preserve">surrogate</w:t>
      </w:r>
      <w:r>
        <w:t xml:space="preserve"> </w:t>
      </w:r>
      <w:r>
        <w:t xml:space="preserve">effect modifier: it does not act on</w:t>
      </w:r>
      <w:r>
        <w:t xml:space="preserve"> </w:t>
      </w:r>
      <m:oMath>
        <m:r>
          <m:t>Y</m:t>
        </m:r>
      </m:oMath>
      <w:r>
        <w:t xml:space="preserve">, so it does not interact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r>
        <w:t xml:space="preserve">“no action, no interaction”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m:oMath>
        <m:r>
          <m:t>V</m:t>
        </m:r>
      </m:oMath>
      <w:r>
        <w:t xml:space="preserve"> </w:t>
      </w:r>
      <w:r>
        <w:t xml:space="preserve">still modifies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because it is correlated with a variable that does act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does interact with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FirstParagraph"/>
      </w:pPr>
      <w:r>
        <w:t xml:space="preserve">So there can be effect modification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a variable without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that variable.</w:t>
      </w:r>
      <w:r>
        <w:t xml:space="preserve"> </w:t>
      </w:r>
      <w:r>
        <w:t xml:space="preserve">The reverse,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modification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is logically possible but probably rare,</w:t>
      </w:r>
      <w:r>
        <w:t xml:space="preserve"> </w:t>
      </w:r>
      <w:r>
        <w:t xml:space="preserve">because it requires dual effects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exact cancellations</w:t>
      </w:r>
      <w:r>
        <w:t xml:space="preserve"> </w:t>
      </w:r>
      <w:r>
        <w:t xml:space="preserve">(Hernán and Robins 2020, 64, margin note citing VanderWeele 2009b)</w:t>
      </w:r>
      <w:r>
        <w:t xml:space="preserve">.</w:t>
      </w:r>
    </w:p>
    <w:p>
      <w:pPr>
        <w:pStyle w:val="BodyText"/>
      </w:pPr>
      <w:r>
        <w:t xml:space="preserve">The results so far do not require deterministic counterfactuals.</w:t>
      </w:r>
      <w:r>
        <w:t xml:space="preserve"> </w:t>
      </w:r>
      <w:r>
        <w:t xml:space="preserve">Section 5.3 does: from there on the chapter assumes deterministic counterfactuals</w:t>
      </w:r>
      <w:r>
        <w:t xml:space="preserve"> </w:t>
      </w:r>
      <w:r>
        <w:t xml:space="preserve">and dichotomous treatments and outcome</w:t>
      </w:r>
      <w:r>
        <w:t xml:space="preserve"> </w:t>
      </w:r>
      <w:r>
        <w:t xml:space="preserve">(Hernán and Robins 2020, 64)</w:t>
      </w:r>
      <w:r>
        <w:t xml:space="preserve">.</w:t>
      </w:r>
    </w:p>
    <w:bookmarkEnd w:id="22"/>
    <w:bookmarkEnd w:id="23"/>
    <w:bookmarkStart w:id="35" w:name="X2c2c0f5b90018452c59dbae8bbe528e71ab6aac"/>
    <w:p>
      <w:pPr>
        <w:pStyle w:val="Heading2"/>
      </w:pPr>
      <w:r>
        <w:t xml:space="preserve">3 5.3 Counterfactual Response Types and Interaction (pp. 64-66)</w:t>
      </w:r>
    </w:p>
    <w:p>
      <w:r>
        <w:pict>
          <v:rect style="width:0;height:1.5pt" o:hralign="center" o:hrstd="t" o:hr="t"/>
        </w:pict>
      </w:r>
    </w:p>
    <w:bookmarkStart w:id="25" w:name="one-treatment-four-response-types"/>
    <w:p>
      <w:pPr>
        <w:pStyle w:val="Heading3"/>
      </w:pPr>
      <w:r>
        <w:t xml:space="preserve">3.1 One Treatment: Four Response Types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tbl-response-types-on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Response types for one dichotomous treatment</w:t>
            </w:r>
            <w:r>
              <w:t xml:space="preserve"> </w:t>
            </w:r>
            <w:r>
              <w:t xml:space="preserve">(Hernán and Robins 2020, Table 5.1, p. 64)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Zeus’s family (Table 1.1)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Doomed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Artemis, Athena, Persephone, Ares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Helped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Hebe, Kronos, Poseidon, Apollo, Hermes, Dionysus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Hurt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Rheia, Leto, Aphrodite, Zeus, Hephaestus, Polyphemus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Immune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Demeter, Hestia, Hera, Hades</w:t>
                  </w:r>
                </w:p>
              </w:tc>
            </w:tr>
          </w:tbl>
          <w:bookmarkEnd w:id="24"/>
          <w:p/>
        </w:tc>
      </w:tr>
    </w:tbl>
    <w:p>
      <w:pPr>
        <w:pStyle w:val="BodyText"/>
      </w:pPr>
      <w:r>
        <w:t xml:space="preserve">A combination of counterfactual responses is called a</w:t>
      </w:r>
      <w:r>
        <w:t xml:space="preserve"> </w:t>
      </w:r>
      <w:r>
        <w:rPr>
          <w:b/>
          <w:bCs/>
        </w:rPr>
        <w:t xml:space="preserve">response pattern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response type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7" w:name="two-treatments-sixteen-response-types"/>
    <w:p>
      <w:pPr>
        <w:pStyle w:val="Heading3"/>
      </w:pPr>
      <w:r>
        <w:t xml:space="preserve">3.2 Two Treatments: Sixteen Response Types</w:t>
      </w:r>
    </w:p>
    <w:p>
      <w:pPr>
        <w:pStyle w:val="FirstParagraph"/>
      </w:pPr>
      <w:r>
        <w:t xml:space="preserve">With two dichotomous treatments each individual has four counterfactual outcomes,</w:t>
      </w:r>
      <w:r>
        <w:t xml:space="preserve"> </w:t>
      </w:r>
      <w:r>
        <w:t xml:space="preserve">so there are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response types (Miettinen 1982).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tbl-response-types-two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Response types for two dichotomous treatments;</w:t>
            </w:r>
            <w:r>
              <w:t xml:space="preserve"> </w:t>
            </w:r>
            <w:r>
              <w:t xml:space="preserve">superscripts are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Table 5.2, p. 65)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</w:tbl>
          <w:bookmarkEnd w:id="26"/>
          <w:p/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types-without-interaction"/>
    <w:p>
      <w:pPr>
        <w:pStyle w:val="Heading3"/>
      </w:pPr>
      <w:r>
        <w:t xml:space="preserve">3.3 Types Without Interaction</w:t>
      </w:r>
    </w:p>
    <w:p>
      <w:pPr>
        <w:pStyle w:val="FirstParagraph"/>
      </w:pPr>
      <w:r>
        <w:t xml:space="preserve">In six types the effect of each treatment does not depend on the other:</w:t>
      </w:r>
    </w:p>
    <w:p>
      <w:pPr>
        <w:pStyle w:val="Compact"/>
        <w:numPr>
          <w:ilvl w:val="0"/>
          <w:numId w:val="1006"/>
        </w:numPr>
      </w:pPr>
      <w:r>
        <w:t xml:space="preserve">type 1 (dies under every joint treatment) and type 16 (survives under every joint treatment);</w:t>
      </w:r>
    </w:p>
    <w:p>
      <w:pPr>
        <w:pStyle w:val="Compact"/>
        <w:numPr>
          <w:ilvl w:val="0"/>
          <w:numId w:val="1006"/>
        </w:numPr>
      </w:pPr>
      <w:r>
        <w:t xml:space="preserve">type 4: dies only if given vitamins (</w:t>
      </w:r>
      <m:oMath>
        <m:r>
          <m:t>E</m:t>
        </m:r>
      </m:oMath>
      <w:r>
        <w:t xml:space="preserve"> </w:t>
      </w:r>
      <w:r>
        <w:t xml:space="preserve">alone matters);</w:t>
      </w:r>
    </w:p>
    <w:p>
      <w:pPr>
        <w:pStyle w:val="Compact"/>
        <w:numPr>
          <w:ilvl w:val="0"/>
          <w:numId w:val="1006"/>
        </w:numPr>
      </w:pPr>
      <w:r>
        <w:t xml:space="preserve">type 13: dies only if not given vitamins;</w:t>
      </w:r>
    </w:p>
    <w:p>
      <w:pPr>
        <w:pStyle w:val="Compact"/>
        <w:numPr>
          <w:ilvl w:val="0"/>
          <w:numId w:val="1006"/>
        </w:numPr>
      </w:pPr>
      <w:r>
        <w:t xml:space="preserve">type 6: dies only if transplanted (</w:t>
      </w:r>
      <m:oMath>
        <m:r>
          <m:t>A</m:t>
        </m:r>
      </m:oMath>
      <w:r>
        <w:t xml:space="preserve"> </w:t>
      </w:r>
      <w:r>
        <w:t xml:space="preserve">alone matters);</w:t>
      </w:r>
    </w:p>
    <w:p>
      <w:pPr>
        <w:pStyle w:val="Compact"/>
        <w:numPr>
          <w:ilvl w:val="0"/>
          <w:numId w:val="1006"/>
        </w:numPr>
      </w:pPr>
      <w:r>
        <w:t xml:space="preserve">type 11: dies only if not transplanted.</w:t>
      </w:r>
    </w:p>
    <w:p>
      <w:pPr>
        <w:pStyle w:val="FirstParagraph"/>
      </w:pPr>
      <w:r>
        <w:t xml:space="preserve">If everyone has one of types 1, 4, 6, 11, 13, 16,</w:t>
      </w:r>
      <w:r>
        <w:t xml:space="preserve"> </w:t>
      </w:r>
      <w:r>
        <w:t xml:space="preserve">there is no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on the additive scale.</w:t>
      </w:r>
    </w:p>
    <w:p>
      <w:pPr>
        <w:pStyle w:val="BodyText"/>
      </w:pPr>
      <w:r>
        <w:t xml:space="preserve">If everyone were of type 1 or 16, the sharp causal null hypothesis would hold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(Hernán and Robins 2020, 65)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34" w:name="Xb9870ea66b83b0801944363e951793683193d0a"/>
    <w:p>
      <w:pPr>
        <w:pStyle w:val="Heading3"/>
      </w:pPr>
      <w:r>
        <w:t xml:space="preserve">3.4 Additive Interaction Requires Interaction Types</w:t>
      </w:r>
    </w:p>
    <w:p>
      <w:pPr>
        <w:pStyle w:val="FirstParagraph"/>
      </w:pPr>
      <w:r>
        <w:t xml:space="preserve">Additive interaction implies that some individuals belong to at least one of three classes</w:t>
      </w:r>
      <w:r>
        <w:t xml:space="preserve"> </w:t>
      </w:r>
      <w:r>
        <w:t xml:space="preserve">(Greenland and Poole 1988), each invariant to recoding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:</w:t>
      </w:r>
    </w:p>
    <w:p>
      <w:pPr>
        <w:pStyle w:val="Compact"/>
        <w:numPr>
          <w:ilvl w:val="0"/>
          <w:numId w:val="1007"/>
        </w:numPr>
      </w:pPr>
      <w:r>
        <w:t xml:space="preserve">outcome under only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of the four joint treatments: types 8, 12, 14, 15;</w:t>
      </w:r>
    </w:p>
    <w:p>
      <w:pPr>
        <w:pStyle w:val="Compact"/>
        <w:numPr>
          <w:ilvl w:val="0"/>
          <w:numId w:val="1007"/>
        </w:numPr>
      </w:pPr>
      <w:r>
        <w:t xml:space="preserve">outcome under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joint treatments, with the effect of each treatment reversed across levels of the other: types 7, 10;</w:t>
      </w:r>
    </w:p>
    <w:p>
      <w:pPr>
        <w:pStyle w:val="Compact"/>
        <w:numPr>
          <w:ilvl w:val="0"/>
          <w:numId w:val="1007"/>
        </w:numPr>
      </w:pPr>
      <w:r>
        <w:t xml:space="preserve">outcome under</w:t>
      </w:r>
      <w:r>
        <w:t xml:space="preserve"> </w:t>
      </w:r>
      <w:r>
        <w:rPr>
          <w:b/>
          <w:bCs/>
        </w:rPr>
        <w:t xml:space="preserve">three</w:t>
      </w:r>
      <w:r>
        <w:t xml:space="preserve"> </w:t>
      </w:r>
      <w:r>
        <w:t xml:space="preserve">of the four joint treatments: types 2, 3, 5, 9.</w:t>
      </w:r>
    </w:p>
    <w:p>
      <w:pPr>
        <w:pStyle w:val="FirstParagraph"/>
      </w:pPr>
      <w:r>
        <w:t xml:space="preserve">No additive interaction implies either that nobody is in these classes</w:t>
      </w:r>
      <w:r>
        <w:t xml:space="preserve"> </w:t>
      </w:r>
      <w:r>
        <w:t xml:space="preserve">or that equal deviations of opposite sign cancel exactly</w:t>
      </w:r>
      <w:r>
        <w:t xml:space="preserve"> </w:t>
      </w:r>
      <w:r>
        <w:t xml:space="preserve">(e.g., equal proportions of types 7 and 10, or of types 8 and 12).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m-cancellation"/>
          <w:p>
            <w:pPr>
              <w:pStyle w:val="BodyText"/>
            </w:pPr>
            <w:r>
              <w:rPr>
                <w:b/>
                <w:bCs/>
              </w:rPr>
              <w:t xml:space="preserve">Example 2 (Cancellation of Interaction Types)</w:t>
            </w:r>
            <w:r>
              <w:t xml:space="preserve"> </w:t>
            </w:r>
            <w:r>
              <w:t xml:space="preserve">Let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of the population be type 8,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be type 12,</w:t>
            </w:r>
            <w:r>
              <w:t xml:space="preserve"> </w:t>
            </w:r>
            <w:r>
              <w:t xml:space="preserve">and the rest type 16.</w:t>
            </w:r>
            <w:r>
              <w:t xml:space="preserve"> </w:t>
            </w:r>
            <w:r>
              <w:t xml:space="preserve">Reading the risks off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2</w:t>
              </w:r>
            </w:hyperlink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8),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12),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there is no interaction on the additive scale in the population,</w:t>
            </w:r>
            <w:r>
              <w:t xml:space="preserve"> </w:t>
            </w:r>
            <w:r>
              <w:t xml:space="preserve">even though every type-8 and type-12 individual has an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Miettinen’s 16 types are not invariant to switching the labels</w:t>
      </w:r>
      <w:r>
        <w:t xml:space="preserve"> </w:t>
      </w:r>
      <w:r>
        <w:t xml:space="preserve">“0”</w:t>
      </w:r>
      <w:r>
        <w:t xml:space="preserve"> </w:t>
      </w:r>
      <w:r>
        <w:t xml:space="preserve">and</w:t>
      </w:r>
      <w:r>
        <w:t xml:space="preserve"> </w:t>
      </w:r>
      <w:r>
        <w:t xml:space="preserve">“1”</w:t>
      </w:r>
      <w:r>
        <w:t xml:space="preserve">;</w:t>
      </w:r>
      <w:r>
        <w:t xml:space="preserve"> </w:t>
      </w:r>
      <w:r>
        <w:t xml:space="preserve">Greenland and Poole’s three classes are</w:t>
      </w:r>
      <w:r>
        <w:t xml:space="preserve"> </w:t>
      </w:r>
      <w:r>
        <w:t xml:space="preserve">(Hernán and Robins 2020, 65, margin note)</w:t>
      </w:r>
      <w:r>
        <w:t xml:space="preserve">.</w:t>
      </w:r>
      <w:r>
        <w:t xml:space="preserve"> </w:t>
      </w:r>
      <w:r>
        <w:t xml:space="preserve">Greenland, Lash, and Rothman (2008) discuss such cancellations further.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5.2: Monotonicity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one treatment,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&gt;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only for the</w:t>
            </w:r>
            <w:r>
              <w:t xml:space="preserve"> </w:t>
            </w:r>
            <w:r>
              <w:t xml:space="preserve">“helped”</w:t>
            </w:r>
            <w:r>
              <w:t xml:space="preserve">.</w:t>
            </w:r>
            <w:r>
              <w:t xml:space="preserve"> </w:t>
            </w:r>
            <w:r>
              <w:t xml:space="preserve">If nobody is helped, every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monotonic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For two treatments, the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are monotonic</w:t>
            </w:r>
            <w:r>
              <w:t xml:space="preserve"> </w:t>
            </w:r>
            <w:r>
              <w:t xml:space="preserve">if every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nondecreasing in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 i.e., nobody has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Source:</w:t>
            </w:r>
            <w:r>
              <w:t xml:space="preserve"> </w:t>
            </w:r>
            <w:r>
              <w:t xml:space="preserve">Hernán and Robins (2020, Technical Point 5.2, p. 66)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5.1: Detecting Synergistic Types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Do individuals exist who develop the outcome under both treatments but under neither alone,</w:t>
            </w:r>
            <w:r>
              <w:t xml:space="preserve"> </w:t>
            </w:r>
            <w:r>
              <w:t xml:space="preserve">i.e.,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(types 7 and 8)?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sufficient</w:t>
            </w:r>
            <w:r>
              <w:t xml:space="preserve"> </w:t>
            </w:r>
            <w:r>
              <w:t xml:space="preserve">condition (VanderWeele and Robins 2007a, 2008)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&gt;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If the effects are monotonic, a weaker sufficient condition is superadditive interaction: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&gt;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then implies type 8 exists (monotonicity rules out type 7).</w:t>
            </w:r>
          </w:p>
          <w:p>
            <w:pPr>
              <w:pStyle w:val="BodyText"/>
            </w:pPr>
            <w:r>
              <w:t xml:space="preserve">All three risks can be computed in a randomized experiment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existence of types 7 and 8 can be checked empirically</w:t>
            </w:r>
            <w:r>
              <w:t xml:space="preserve"> </w:t>
            </w:r>
            <w:r>
              <w:t xml:space="preserve">(Hernán and Robins 2020, Fine Point 5.1, p. 67)</w:t>
            </w:r>
            <w:r>
              <w:t xml:space="preserve">.</w:t>
            </w:r>
            <w:r>
              <w:t xml:space="preserve"> </w:t>
            </w:r>
            <w:r>
              <w:t xml:space="preserve">Because the first condition is sufficient but not necessary, it can fail even when types 7 and 8 exist,</w:t>
            </w:r>
            <w:r>
              <w:t xml:space="preserve"> </w:t>
            </w:r>
            <w:r>
              <w:t xml:space="preserve">and it is strong enough to miss most such cases.</w:t>
            </w:r>
            <w:r>
              <w:t xml:space="preserve"> </w:t>
            </w:r>
            <w:r>
              <w:t xml:space="preserve">The monotonic-case result was reported by Greenland and Rothman and appears in Greenland, Lash, and Rothman (2008).</w:t>
            </w:r>
          </w:p>
          <w:p>
            <w:pPr>
              <w:pStyle w:val="BodyText"/>
            </w:pPr>
            <w:r>
              <w:t xml:space="preserve">In genetics, the existence of type-8 individuals is called</w:t>
            </w:r>
            <w:r>
              <w:t xml:space="preserve"> </w:t>
            </w:r>
            <w:r>
              <w:rPr>
                <w:b/>
                <w:bCs/>
              </w:rPr>
              <w:t xml:space="preserve">compositional epistasis</w:t>
            </w:r>
            <w:r>
              <w:t xml:space="preserve">;</w:t>
            </w:r>
            <w:r>
              <w:t xml:space="preserve"> </w:t>
            </w:r>
            <w:r>
              <w:t xml:space="preserve">VanderWeele (2010a) reviews tests for it.</w:t>
            </w:r>
          </w:p>
          <w:p/>
        </w:tc>
      </w:tr>
    </w:tbl>
    <w:bookmarkEnd w:id="34"/>
    <w:bookmarkEnd w:id="35"/>
    <w:bookmarkStart w:id="40" w:name="sufficient-causes-pp.-66-69"/>
    <w:p>
      <w:pPr>
        <w:pStyle w:val="Heading2"/>
      </w:pPr>
      <w:r>
        <w:t xml:space="preserve">4 5.4 Sufficient Causes (pp. 66-69)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variety of response types shows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not the only determinant of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sufficient-component-cause framework represents the other determinants as</w:t>
      </w:r>
      <w:r>
        <w:t xml:space="preserve"> </w:t>
      </w:r>
      <w:r>
        <w:rPr>
          <w:b/>
          <w:bCs/>
        </w:rPr>
        <w:t xml:space="preserve">background factors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def-sufficient-cause"/>
          <w:p>
            <w:pPr>
              <w:pStyle w:val="BodyText"/>
            </w:pPr>
            <w:r>
              <w:rPr>
                <w:b/>
                <w:bCs/>
              </w:rPr>
              <w:t xml:space="preserve">Definition 3 (Minimal Sufficient Cause)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sufficient cause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 set of conditions that together inevitably produce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minimal</w:t>
            </w:r>
            <w:r>
              <w:t xml:space="preserve"> </w:t>
            </w:r>
            <w:r>
              <w:t xml:space="preserve">if it contains the smallest set of background factors that,</w:t>
            </w:r>
            <w:r>
              <w:t xml:space="preserve"> </w:t>
            </w:r>
            <w:r>
              <w:t xml:space="preserve">with the treatment component, suffices.</w:t>
            </w:r>
            <w:r>
              <w:t xml:space="preserve"> </w:t>
            </w:r>
            <w:r>
              <w:t xml:space="preserve">Its elements are its</w:t>
            </w:r>
            <w:r>
              <w:t xml:space="preserve"> </w:t>
            </w:r>
            <w:r>
              <w:rPr>
                <w:b/>
                <w:bCs/>
              </w:rPr>
              <w:t xml:space="preserve">component causes</w:t>
            </w:r>
            <w:r>
              <w:t xml:space="preserve">;</w:t>
            </w:r>
            <w:r>
              <w:t xml:space="preserve"> </w:t>
            </w:r>
            <w:r>
              <w:t xml:space="preserve">“sufficient-component causes”</w:t>
            </w:r>
            <w:r>
              <w:t xml:space="preserve"> </w:t>
            </w:r>
            <w:r>
              <w:t xml:space="preserve">refers to both.</w:t>
            </w:r>
          </w:p>
          <w:bookmarkEnd w:id="36"/>
        </w:tc>
      </w:tr>
    </w:tbl>
    <w:p>
      <w:pPr>
        <w:pStyle w:val="BodyText"/>
      </w:pPr>
      <w:r>
        <w:t xml:space="preserve">By definition, the dichotomous background factors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cannot be intervened on</w:t>
      </w:r>
      <w:r>
        <w:t xml:space="preserve"> </w:t>
      </w:r>
      <w:r>
        <w:t xml:space="preserve">and cannot be affected by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67,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7" w:name="one-treatment-three-sufficient-causes"/>
    <w:p>
      <w:pPr>
        <w:pStyle w:val="Heading3"/>
      </w:pPr>
      <w:r>
        <w:t xml:space="preserve">4.1 One Treatment: Three Sufficient Causes</w:t>
      </w:r>
    </w:p>
    <w:p>
      <w:pPr>
        <w:pStyle w:val="FirstParagraph"/>
      </w:pPr>
      <w:r>
        <w:t xml:space="preserve">In the oversimplified heart transplant example</w:t>
      </w:r>
      <w:r>
        <w:t xml:space="preserve"> </w:t>
      </w:r>
      <w:r>
        <w:t xml:space="preserve">(Hernán and Robins 2020, 66–67)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Sufficient cause</w:t>
            </w:r>
          </w:p>
        </w:tc>
        <w:tc>
          <w:tcPr/>
          <w:p>
            <w:pPr>
              <w:pStyle w:val="Compact"/>
            </w:pPr>
            <w:r>
              <w:t xml:space="preserve">Treatment component</w:t>
            </w:r>
          </w:p>
        </w:tc>
        <w:tc>
          <w:tcPr/>
          <w:p>
            <w:pPr>
              <w:pStyle w:val="Compact"/>
            </w:pPr>
            <w:r>
              <w:t xml:space="preserve">Background factor (example)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transplant</w:t>
            </w:r>
          </w:p>
        </w:tc>
        <w:tc>
          <w:tcPr/>
          <w:p>
            <w:pPr>
              <w:pStyle w:val="Compact"/>
            </w:pPr>
            <w:r>
              <w:t xml:space="preserve">allergy to anesthesia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no transplant</w:t>
            </w:r>
          </w:p>
        </w:tc>
        <w:tc>
          <w:tcPr/>
          <w:p>
            <w:pPr>
              <w:pStyle w:val="Compact"/>
            </w:pPr>
            <w:r>
              <w:t xml:space="preserve">ejection fraction below 20%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pancreatic cancer at study start</w:t>
            </w:r>
          </w:p>
        </w:tc>
      </w:tr>
    </w:tbl>
    <w:p>
      <w:pPr>
        <w:pStyle w:val="BodyText"/>
      </w:pPr>
      <w:r>
        <w:t xml:space="preserve">Figure 5.1 of the book draws each sufficient cause as a circle (</w:t>
      </w:r>
      <w:r>
        <w:t xml:space="preserve">“causal pie”</w:t>
      </w:r>
      <w:r>
        <w:t xml:space="preserve">)</w:t>
      </w:r>
      <w:r>
        <w:t xml:space="preserve"> </w:t>
      </w:r>
      <w:r>
        <w:t xml:space="preserve">divided into its components.</w:t>
      </w:r>
    </w:p>
    <w:p>
      <w:r>
        <w:pict>
          <v:rect style="width:0;height:1.5pt" o:hralign="center" o:hrstd="t" o:hr="t"/>
        </w:pict>
      </w:r>
    </w:p>
    <w:bookmarkEnd w:id="37"/>
    <w:bookmarkStart w:id="38" w:name="Xc61ceafbe294394ad7e513cd74cc201570cd38a"/>
    <w:p>
      <w:pPr>
        <w:pStyle w:val="Heading3"/>
      </w:pPr>
      <w:r>
        <w:t xml:space="preserve">4.2 Effect Size Depends on Background Factors</w:t>
      </w:r>
    </w:p>
    <w:p>
      <w:pPr>
        <w:pStyle w:val="FirstParagraph"/>
      </w:pPr>
      <w:r>
        <w:t xml:space="preserve">Compare two populations, identical except that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(allergy) has prevalence</w:t>
      </w:r>
    </w:p>
    <w:p>
      <w:pPr>
        <w:pStyle w:val="Compact"/>
        <w:numPr>
          <w:ilvl w:val="0"/>
          <w:numId w:val="1009"/>
        </w:numPr>
      </w:pPr>
      <w:r>
        <w:t xml:space="preserve">1% in the first;</w:t>
      </w:r>
    </w:p>
    <w:p>
      <w:pPr>
        <w:pStyle w:val="Compact"/>
        <w:numPr>
          <w:ilvl w:val="0"/>
          <w:numId w:val="1009"/>
        </w:numPr>
      </w:pPr>
      <w:r>
        <w:t xml:space="preserve">10% in the second.</w:t>
      </w:r>
    </w:p>
    <w:p>
      <w:pPr>
        <w:pStyle w:val="FirstParagraph"/>
      </w:pPr>
      <w:r>
        <w:t xml:space="preserve">Randomize half of each population to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 average causal effect of transplant on death is greater in the second population,</w:t>
      </w:r>
      <w:r>
        <w:t xml:space="preserve"> </w:t>
      </w:r>
      <w:r>
        <w:t xml:space="preserve">because the sufficient cause</w:t>
      </w:r>
      <w:r>
        <w:t xml:space="preserve"> </w:t>
      </w:r>
      <w:r>
        <w:t xml:space="preserve">“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plus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”</w:t>
      </w:r>
      <w:r>
        <w:t xml:space="preserve"> </w:t>
      </w:r>
      <w:r>
        <w:t xml:space="preserve">is ten times more common there.</w:t>
      </w:r>
    </w:p>
    <w:p>
      <w:pPr>
        <w:pStyle w:val="BodyText"/>
      </w:pPr>
      <w:r>
        <w:t xml:space="preserve">This is the Chapter 4 point that the magnitude of a causal effect depends on the distribution of effect modifiers,</w:t>
      </w:r>
      <w:r>
        <w:t xml:space="preserve"> </w:t>
      </w:r>
      <w:r>
        <w:t xml:space="preserve">made visible with sufficient-component causes</w:t>
      </w:r>
      <w:r>
        <w:t xml:space="preserve"> </w:t>
      </w:r>
      <w:r>
        <w:t xml:space="preserve">(Hernán and Robins 2020, 68)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8"/>
    <w:bookmarkStart w:id="39" w:name="two-treatments-nine-sufficient-causes"/>
    <w:p>
      <w:pPr>
        <w:pStyle w:val="Heading3"/>
      </w:pPr>
      <w:r>
        <w:t xml:space="preserve">4.3 Two Treatments: Nine Sufficient Causes</w:t>
      </w:r>
    </w:p>
    <w:p>
      <w:pPr>
        <w:pStyle w:val="FirstParagraph"/>
      </w:pPr>
      <w:r>
        <w:t xml:space="preserve">With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there are 9 possible sufficient causes (Greenland and Poole 1988),</w:t>
      </w:r>
      <w:r>
        <w:t xml:space="preserve"> </w:t>
      </w:r>
      <w:r>
        <w:t xml:space="preserve">with treatment components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neither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FirstParagraph"/>
      </w:pPr>
      <w:r>
        <w:t xml:space="preserve">Each also contains background factors from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8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(Figure 5.2 of the book).</w:t>
      </w:r>
    </w:p>
    <w:p>
      <w:pPr>
        <w:pStyle w:val="BodyText"/>
      </w:pPr>
      <w:r>
        <w:t xml:space="preserve">Not all 9 need exist.</w:t>
      </w:r>
      <w:r>
        <w:t xml:space="preserve"> </w:t>
      </w:r>
      <w:r>
        <w:t xml:space="preserve">If vitamins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never kill anyone, whatever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is,</w:t>
      </w:r>
      <w:r>
        <w:t xml:space="preserve"> </w:t>
      </w:r>
      <w:r>
        <w:t xml:space="preserve">then the 3 sufficient causes with component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absent;</w:t>
      </w:r>
      <w:r>
        <w:t xml:space="preserve"> </w:t>
      </w:r>
      <w:r>
        <w:t xml:space="preserve">their existence would mean some individuals (e.g., those with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</w:t>
      </w:r>
      <w:r>
        <w:t xml:space="preserve"> </w:t>
      </w:r>
      <w:r>
        <w:t xml:space="preserve">would be killed by vitamins, i.e., saved by withholding them</w:t>
      </w:r>
      <w:r>
        <w:t xml:space="preserve"> </w:t>
      </w:r>
      <w:r>
        <w:t xml:space="preserve">(Hernán and Robins 2020, 69)</w:t>
      </w:r>
      <w:r>
        <w:t xml:space="preserve">.</w:t>
      </w:r>
    </w:p>
    <w:bookmarkEnd w:id="39"/>
    <w:bookmarkEnd w:id="40"/>
    <w:bookmarkStart w:id="51" w:name="sufficient-cause-interaction-pp.-69-71"/>
    <w:p>
      <w:pPr>
        <w:pStyle w:val="Heading2"/>
      </w:pPr>
      <w:r>
        <w:t xml:space="preserve">5 5.5 Sufficient Cause Interaction (pp. 69-71)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counterfactual definition of interaction (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) is a contrast of counterfactual risks.</w:t>
      </w:r>
      <w:r>
        <w:t xml:space="preserve"> </w:t>
      </w:r>
      <w:r>
        <w:t xml:space="preserve">It can be identified in an ideal randomized experiment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any knowledge of the mechanisms by which the treatments act.</w:t>
      </w:r>
    </w:p>
    <w:p>
      <w:pPr>
        <w:pStyle w:val="BodyText"/>
      </w:pPr>
      <w:r>
        <w:t xml:space="preserve">A second concept of interaction refers to mechanisms directly.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def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Definition 4 (Sufficient Cause Interaction)</w:t>
            </w:r>
            <w:r>
              <w:t xml:space="preserve"> </w:t>
            </w:r>
            <w:r>
              <w:t xml:space="preserve">“A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exists in the population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occur together in a sufficient cause”</w:t>
            </w:r>
            <w:r>
              <w:t xml:space="preserve"> </w:t>
            </w:r>
            <w:r>
              <w:t xml:space="preserve">(Hernán and Robins 2020, 69)</w:t>
            </w:r>
            <w:r>
              <w:t xml:space="preserve">.</w:t>
            </w:r>
          </w:p>
          <w:bookmarkEnd w:id="4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exm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Example 3 (Background Factor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individuals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develop the outcome when receiving both vitamins and transplant</w:t>
            </w:r>
            <w:r>
              <w:t xml:space="preserve"> </w:t>
            </w:r>
            <w:r>
              <w:t xml:space="preserve">but not when receiving only one of them.</w:t>
            </w:r>
            <w:r>
              <w:t xml:space="preserve"> </w:t>
            </w:r>
            <w:r>
              <w:t xml:space="preserve">Then a sufficient cause interaction exists if anyone has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 some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is present</w:t>
            </w:r>
            <w:r>
              <w:t xml:space="preserve"> </w:t>
            </w:r>
            <w:r>
              <w:t xml:space="preserve">(Hernán and Robins 2020, 69–70)</w:t>
            </w:r>
            <w:r>
              <w:t xml:space="preserve">.</w:t>
            </w:r>
          </w:p>
          <w:bookmarkEnd w:id="42"/>
        </w:tc>
      </w:tr>
    </w:tbl>
    <w:p>
      <w:r>
        <w:pict>
          <v:rect style="width:0;height:1.5pt" o:hralign="center" o:hrstd="t" o:hr="t"/>
        </w:pict>
      </w:r>
    </w:p>
    <w:bookmarkStart w:id="43" w:name="synergism-and-antagonism"/>
    <w:p>
      <w:pPr>
        <w:pStyle w:val="Heading3"/>
      </w:pPr>
      <w:r>
        <w:t xml:space="preserve">5.1 Synergism and Antagonism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Synergism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components of the same sufficient cause.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Antagonism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) are components of the same sufficient cause.</w:t>
      </w:r>
    </w:p>
    <w:p>
      <w:pPr>
        <w:pStyle w:val="FirstParagraph"/>
      </w:pPr>
      <w:r>
        <w:t xml:space="preserve">Antagonism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can be viewed as synergism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“no</w:t>
      </w:r>
      <w:r>
        <w:t xml:space="preserve"> </w:t>
      </w:r>
      <m:oMath>
        <m:r>
          <m:t>E</m:t>
        </m:r>
      </m:oMath>
      <w:r>
        <w:t xml:space="preserve">”</w:t>
      </w:r>
      <w:r>
        <w:t xml:space="preserve"> </w:t>
      </w:r>
      <w:r>
        <w:t xml:space="preserve">(or between</w:t>
      </w:r>
      <w:r>
        <w:t xml:space="preserve"> </w:t>
      </w:r>
      <w:r>
        <w:t xml:space="preserve">“no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).</w:t>
      </w:r>
    </w:p>
    <w:p>
      <w:pPr>
        <w:pStyle w:val="BodyText"/>
      </w:pPr>
      <w:r>
        <w:t xml:space="preserve">Rothman (1976) described synergism and antagonism within the sufficient-component-cause framework</w:t>
      </w:r>
      <w:r>
        <w:t xml:space="preserve"> </w:t>
      </w:r>
      <w:r>
        <w:t xml:space="preserve">(Hernán and Robins 2020, 71,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3"/>
    <w:bookmarkStart w:id="50" w:name="X8fd0aecc61e96c02ff1f4f4aeccd47ec50ba442"/>
    <w:p>
      <w:pPr>
        <w:pStyle w:val="Heading3"/>
      </w:pPr>
      <w:r>
        <w:t xml:space="preserve">5.2 Detecting Synergism Without Knowing the Mechanisms</w:t>
      </w:r>
    </w:p>
    <w:p>
      <w:pPr>
        <w:pStyle w:val="FirstParagraph"/>
      </w:pPr>
      <w:r>
        <w:t xml:space="preserve">Sufficient cause interaction is defined through mechanisms,</w:t>
      </w:r>
      <w:r>
        <w:t xml:space="preserve"> </w:t>
      </w:r>
      <w:r>
        <w:t xml:space="preserve">yet sometimes it can be detected with no knowledge of them:</w:t>
      </w:r>
      <w:r>
        <w:t xml:space="preserve"> </w:t>
      </w:r>
      <w:r>
        <w:t xml:space="preserve">if the inequalities of Fine Point 5.1 hold, synergism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exists.</w:t>
      </w:r>
    </w:p>
    <w:p>
      <w:pPr>
        <w:pStyle w:val="BodyText"/>
      </w:pPr>
      <w:r>
        <w:t xml:space="preserve">This is not surprising, for two reasons</w:t>
      </w:r>
      <w:r>
        <w:t xml:space="preserve"> </w:t>
      </w:r>
      <w:r>
        <w:t xml:space="preserve">(Hernán and Robins 2020, 71)</w:t>
      </w:r>
      <w:r>
        <w:t xml:space="preserve">:</w:t>
      </w:r>
      <w:r>
        <w:t xml:space="preserve"> </w:t>
      </w:r>
      <w:r>
        <w:t xml:space="preserve">response types correspond to sufficient causes (Fine Point 5.2),</w:t>
      </w:r>
      <w:r>
        <w:t xml:space="preserve"> </w:t>
      </w:r>
      <w:r>
        <w:t xml:space="preserve">and the inequalities are sufficient but not necessary,</w:t>
      </w:r>
      <w:r>
        <w:t xml:space="preserve"> </w:t>
      </w:r>
      <w:r>
        <w:t xml:space="preserve">so they can fail even when synergism exists.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5.2: From Response Types to Component Causes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46" w:name="tbl-types-components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3: Mapping between response types and sufficient-component causes for one treatment</w:t>
                  </w:r>
                  <w:r>
                    <w:t xml:space="preserve"> </w:t>
                  </w:r>
                  <w:r>
                    <w:t xml:space="preserve">(Hernán and Robins 2020, Fine Point 5.2, p. 70)</w:t>
                  </w:r>
                </w:p>
                <w:tbl>
                  <w:tblPr>
                    <w:tblStyle w:val="Table"/>
                    <w:tblW w:type="auto" w:w="0"/>
                    <w:tblLook w:firstRow="1" w:lastRow="0" w:firstColumn="0" w:lastColumn="0" w:noHBand="0" w:noVBand="0" w:val="0020"/>
                  </w:tblPr>
                  <w:tblGrid>
                    <w:gridCol w:w="1980"/>
                    <w:gridCol w:w="1980"/>
                    <w:gridCol w:w="1980"/>
                    <w:gridCol w:w="1980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Type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0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1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Component causes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Doomed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or</w:t>
                        </w:r>
                        <w:r>
                          <w:t xml:space="preserve"> </w:t>
                        </w:r>
                        <m:oMath>
                          <m:r>
                            <m:rPr>
                              <m:sty m:val="p"/>
                            </m:rPr>
                            <m:t>{</m:t>
                          </m:r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and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}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Helped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Hurt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Immune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</w:tbl>
                <w:bookmarkEnd w:id="46"/>
                <w:p/>
              </w:tc>
            </w:tr>
          </w:tbl>
          <w:p>
            <w:pPr>
              <w:pStyle w:val="BodyText"/>
            </w:pPr>
            <w:r>
              <w:t xml:space="preserve">Each combination of component causes gives exactly one response type,</w:t>
            </w:r>
            <w:r>
              <w:t xml:space="preserve"> </w:t>
            </w:r>
            <w:r>
              <w:t xml:space="preserve">but a response type can arise from several combinations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w:r>
              <w:t xml:space="preserve">“doomed”</w:t>
            </w:r>
            <w:r>
              <w:t xml:space="preserve"> </w:t>
            </w:r>
            <w:r>
              <w:t xml:space="preserve">arises from any combination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Exchangeability in terms of component causes</w:t>
            </w:r>
            <w:r>
              <w:t xml:space="preserve"> </w:t>
            </w:r>
            <w:r>
              <w:t xml:space="preserve">(Hernán and Robins 2020, Fine Point 5.2, p. 70)</w:t>
            </w:r>
            <w:r>
              <w:t xml:space="preserve">.</w:t>
            </w:r>
            <w:r>
              <w:t xml:space="preserve"> </w:t>
            </w:r>
            <w:r>
              <w:t xml:space="preserve">For a dichotomous treatment and outcome,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hurt, i.e.,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helped, i.e.,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Substituting these sets, exchangeability holds 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See Greenland and Brumback (2002), Flanders (2006), and VanderWeele and Hernán (2006);</w:t>
            </w:r>
            <w:r>
              <w:t xml:space="preserve"> </w:t>
            </w:r>
            <w:r>
              <w:t xml:space="preserve">VanderWeele and Robins (2008) generalized some results to two or more treatments.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5.3:</w:t>
            </w:r>
            <w:r>
              <w:t xml:space="preserve"> </w:t>
            </w:r>
            <w:r>
              <w:t xml:space="preserve">“Biologic”</w:t>
            </w:r>
            <w:r>
              <w:t xml:space="preserve"> </w:t>
            </w:r>
            <w:r>
              <w:t xml:space="preserve">Interaction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Sufficient cause interaction is often called</w:t>
            </w:r>
            <w:r>
              <w:t xml:space="preserve"> </w:t>
            </w:r>
            <w:r>
              <w:rPr>
                <w:b/>
                <w:bCs/>
              </w:rPr>
              <w:t xml:space="preserve">biologic interaction</w:t>
            </w:r>
            <w:r>
              <w:t xml:space="preserve"> </w:t>
            </w:r>
            <w:r>
              <w:t xml:space="preserve">(Rothman et al. 1980),</w:t>
            </w:r>
            <w:r>
              <w:t xml:space="preserve"> </w:t>
            </w:r>
            <w:r>
              <w:t xml:space="preserve">but it need not involve treatments acting on each other.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exm-alleles"/>
          <w:p>
            <w:pPr>
              <w:pStyle w:val="BodyText"/>
            </w:pPr>
            <w:r>
              <w:rPr>
                <w:b/>
                <w:bCs/>
              </w:rPr>
              <w:t xml:space="preserve">Example 4 (Two Alleles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Fine Point 5.3, p. 71)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indicate a deleterious mutation in each of the two alleles of a gene that produces an essential protein</w:t>
            </w:r>
            <w:r>
              <w:t xml:space="preserve"> </w:t>
            </w:r>
            <w:r>
              <w:t xml:space="preserve">(VanderWeele and Robins 2007a).</w:t>
            </w:r>
            <w:r>
              <w:t xml:space="preserve"> </w:t>
            </w:r>
            <w:r>
              <w:t xml:space="preserve">Infants with both mutations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lack the protein and die within a week;</w:t>
            </w:r>
            <w:r>
              <w:t xml:space="preserve"> </w:t>
            </w:r>
            <w:r>
              <w:t xml:space="preserve">those with one or no mutation survive.</w:t>
            </w:r>
            <w:r>
              <w:t xml:space="preserve"> </w:t>
            </w:r>
            <w:r>
              <w:t xml:space="preserve">There is synergism, since a sufficient cause of death contains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the alleles arguably do not physically act on each other.</w:t>
            </w:r>
          </w:p>
          <w:bookmarkEnd w:id="49"/>
        </w:tc>
      </w:tr>
    </w:tbl>
    <w:bookmarkEnd w:id="50"/>
    <w:bookmarkEnd w:id="51"/>
    <w:bookmarkStart w:id="57" w:name="X75a709126512a81ed99b5c09d07b65411507b03"/>
    <w:p>
      <w:pPr>
        <w:pStyle w:val="Heading2"/>
      </w:pPr>
      <w:r>
        <w:t xml:space="preserve">6 5.6 Counterfactuals or Sufficient-Component Causes? (pp. 71-74)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frameworks answer different questions: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Sufficient-component causes</w:t>
            </w:r>
          </w:p>
        </w:tc>
        <w:tc>
          <w:tcPr/>
          <w:p>
            <w:pPr>
              <w:pStyle w:val="Compact"/>
            </w:pPr>
            <w:r>
              <w:t xml:space="preserve">Counterfactuals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Starts from</w:t>
            </w:r>
          </w:p>
        </w:tc>
        <w:tc>
          <w:tcPr/>
          <w:p>
            <w:pPr>
              <w:pStyle w:val="Compact"/>
            </w:pPr>
            <w:r>
              <w:t xml:space="preserve">a particular effect</w:t>
            </w:r>
          </w:p>
        </w:tc>
        <w:tc>
          <w:tcPr/>
          <w:p>
            <w:pPr>
              <w:pStyle w:val="Compact"/>
            </w:pPr>
            <w:r>
              <w:t xml:space="preserve">a particular cause or intervention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Asks</w:t>
            </w:r>
          </w:p>
        </w:tc>
        <w:tc>
          <w:tcPr/>
          <w:p>
            <w:pPr>
              <w:pStyle w:val="Compact"/>
            </w:pPr>
            <w:r>
              <w:t xml:space="preserve">“how does it happen?”</w:t>
            </w:r>
          </w:p>
        </w:tc>
        <w:tc>
          <w:tcPr/>
          <w:p>
            <w:pPr>
              <w:pStyle w:val="Compact"/>
            </w:pPr>
            <w:r>
              <w:t xml:space="preserve">“what happens?”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Describes mechanisms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BodyText"/>
      </w:pPr>
      <w:r>
        <w:t xml:space="preserve">For estimating average causal effects of hypothetical interventions,</w:t>
      </w:r>
      <w:r>
        <w:t xml:space="preserve"> </w:t>
      </w:r>
      <w:r>
        <w:t xml:space="preserve">the subject of the book, the counterfactual framework is the natural one.</w:t>
      </w:r>
    </w:p>
    <w:p>
      <w:pPr>
        <w:pStyle w:val="BodyText"/>
      </w:pPr>
      <w:r>
        <w:t xml:space="preserve">The sufficient-component-cause model asks which events might have caused a given effect;</w:t>
      </w:r>
      <w:r>
        <w:t xml:space="preserve"> </w:t>
      </w:r>
      <w:r>
        <w:t xml:space="preserve">the counterfactual model asks what would have happened had a factor been set to a different level than it was</w:t>
      </w:r>
      <w:r>
        <w:t xml:space="preserve"> </w:t>
      </w:r>
      <w:r>
        <w:t xml:space="preserve">(Hernán and Robins 2020, 71)</w:t>
      </w:r>
      <w:r>
        <w:t xml:space="preserve">.</w:t>
      </w:r>
      <w:r>
        <w:t xml:space="preserve"> </w:t>
      </w:r>
      <w:r>
        <w:t xml:space="preserve">In philosophy the sufficient-component-cause framework goes back to Mackie (1965),</w:t>
      </w:r>
      <w:r>
        <w:t xml:space="preserve"> </w:t>
      </w:r>
      <w:r>
        <w:t xml:space="preserve">whose</w:t>
      </w:r>
      <w:r>
        <w:t xml:space="preserve"> </w:t>
      </w:r>
      <w:r>
        <w:rPr>
          <w:b/>
          <w:bCs/>
        </w:rPr>
        <w:t xml:space="preserve">INUS condition</w:t>
      </w:r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I</w:t>
      </w:r>
      <w:r>
        <w:t xml:space="preserve">nsufficient but</w:t>
      </w:r>
      <w:r>
        <w:t xml:space="preserve"> </w:t>
      </w:r>
      <w:r>
        <w:rPr>
          <w:b/>
          <w:bCs/>
        </w:rPr>
        <w:t xml:space="preserve">N</w:t>
      </w:r>
      <w:r>
        <w:t xml:space="preserve">ecessary part of a condition</w:t>
      </w:r>
      <w:r>
        <w:t xml:space="preserve"> </w:t>
      </w:r>
      <w:r>
        <w:t xml:space="preserve">which is itself</w:t>
      </w:r>
      <w:r>
        <w:t xml:space="preserve"> </w:t>
      </w:r>
      <w:r>
        <w:rPr>
          <w:b/>
          <w:bCs/>
        </w:rPr>
        <w:t xml:space="preserve">U</w:t>
      </w:r>
      <w:r>
        <w:t xml:space="preserve">nnecessary but exclusively</w:t>
      </w:r>
      <w:r>
        <w:t xml:space="preserve"> </w:t>
      </w:r>
      <w:r>
        <w:rPr>
          <w:b/>
          <w:bCs/>
        </w:rPr>
        <w:t xml:space="preserve">S</w:t>
      </w:r>
      <w:r>
        <w:t xml:space="preserve">ufficient for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A counterfactual framework of causation was already hinted at by Hume (1748).</w:t>
      </w:r>
    </w:p>
    <w:p>
      <w:r>
        <w:pict>
          <v:rect style="width:0;height:1.5pt" o:hralign="center" o:hrstd="t" o:hr="t"/>
        </w:pict>
      </w:r>
    </w:p>
    <w:bookmarkStart w:id="56" w:name="Xfdef73ce43ad10ec8b3347a20ea29b8241e8bfb"/>
    <w:p>
      <w:pPr>
        <w:pStyle w:val="Heading3"/>
      </w:pPr>
      <w:r>
        <w:t xml:space="preserve">6.1 Strengths and Limitations of Sufficient-Component Causes</w:t>
      </w:r>
    </w:p>
    <w:p>
      <w:pPr>
        <w:pStyle w:val="FirstParagraph"/>
      </w:pPr>
      <w:r>
        <w:t xml:space="preserve">Useful for teaching, because they illustrate</w:t>
      </w:r>
    </w:p>
    <w:p>
      <w:pPr>
        <w:pStyle w:val="Compact"/>
        <w:numPr>
          <w:ilvl w:val="0"/>
          <w:numId w:val="1013"/>
        </w:numPr>
      </w:pPr>
      <w:r>
        <w:t xml:space="preserve">why the size of a causal effect depends on the distribution of background factors (effect modifiers);</w:t>
      </w:r>
    </w:p>
    <w:p>
      <w:pPr>
        <w:pStyle w:val="Compact"/>
        <w:numPr>
          <w:ilvl w:val="0"/>
          <w:numId w:val="1013"/>
        </w:numPr>
      </w:pPr>
      <w:r>
        <w:t xml:space="preserve">how effect modification, interaction, and synergism relate.</w:t>
      </w:r>
    </w:p>
    <w:p>
      <w:pPr>
        <w:pStyle w:val="FirstParagraph"/>
      </w:pPr>
      <w:r>
        <w:t xml:space="preserve">Limited for data analysis, because in its classical form the framework</w:t>
      </w:r>
    </w:p>
    <w:p>
      <w:pPr>
        <w:pStyle w:val="Compact"/>
        <w:numPr>
          <w:ilvl w:val="0"/>
          <w:numId w:val="1014"/>
        </w:numPr>
      </w:pPr>
      <w:r>
        <w:t xml:space="preserve">is deterministic;</w:t>
      </w:r>
    </w:p>
    <w:p>
      <w:pPr>
        <w:pStyle w:val="Compact"/>
        <w:numPr>
          <w:ilvl w:val="0"/>
          <w:numId w:val="1014"/>
        </w:numPr>
      </w:pPr>
      <w:r>
        <w:t xml:space="preserve">gives conclusions that depend on the coding of the outcome;</w:t>
      </w:r>
    </w:p>
    <w:p>
      <w:pPr>
        <w:pStyle w:val="Compact"/>
        <w:numPr>
          <w:ilvl w:val="0"/>
          <w:numId w:val="1014"/>
        </w:numPr>
      </w:pPr>
      <w:r>
        <w:t xml:space="preserve">is restricted to dichotomous treatments and outcomes;</w:t>
      </w:r>
    </w:p>
    <w:p>
      <w:pPr>
        <w:pStyle w:val="Compact"/>
        <w:numPr>
          <w:ilvl w:val="0"/>
          <w:numId w:val="1014"/>
        </w:numPr>
      </w:pPr>
      <w:r>
        <w:t xml:space="preserve">requires large amounts of data to study the fine distinctions it makes.</w:t>
      </w:r>
    </w:p>
    <w:p>
      <w:pPr>
        <w:pStyle w:val="FirstParagraph"/>
      </w:pPr>
      <w:r>
        <w:t xml:space="preserve">Extensions to stochastic settings and to categorical or ordinal treatments might widen its use:</w:t>
      </w:r>
      <w:r>
        <w:t xml:space="preserve"> </w:t>
      </w:r>
      <w:r>
        <w:t xml:space="preserve">VanderWeele (2010b) extended it to 3-level treatments,</w:t>
      </w:r>
      <w:r>
        <w:t xml:space="preserve"> </w:t>
      </w:r>
      <w:r>
        <w:t xml:space="preserve">and VanderWeele and Robins (2012) related stochastic counterfactuals to stochastic sufficient causes</w:t>
      </w:r>
      <w:r>
        <w:t xml:space="preserve"> </w:t>
      </w:r>
      <w:r>
        <w:t xml:space="preserve">(Hernán and Robins 2020, 72)</w:t>
      </w:r>
      <w:r>
        <w:t xml:space="preserve">.</w:t>
      </w:r>
      <w:r>
        <w:t xml:space="preserve"> </w:t>
      </w:r>
      <w:r>
        <w:t xml:space="preserve">The counterfactual framework will likely remain the one most often used,</w:t>
      </w:r>
      <w:r>
        <w:t xml:space="preserve"> </w:t>
      </w:r>
      <w:r>
        <w:t xml:space="preserve">and apparent alternatives such as causal diagrams and decision theory are essentially equivalent to it (Chapter 6).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5.4: Attributable Fractions Do Not Add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the excess fraction (Fine Point 3.5) is 75%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50% for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joint intervention cannot prevent</w:t>
            </w:r>
            <w:r>
              <w:t xml:space="preserve"> </w:t>
            </w:r>
            <m:oMath>
              <m:r>
                <m:t>75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+</m:t>
              </m:r>
              <m:r>
                <m:t>50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t>125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of cases:</w:t>
            </w:r>
            <w:r>
              <w:t xml:space="preserve"> </w:t>
            </w:r>
            <w:r>
              <w:t xml:space="preserve">no intervention, single or joint, can prevent more than 100%.</w:t>
            </w:r>
          </w:p>
          <w:p>
            <w:pPr>
              <w:pStyle w:val="BodyText"/>
            </w:pPr>
            <w:r>
              <w:t xml:space="preserve">The resolution: an individual like Zeus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treated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would not have been a case had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w:r>
              <w:t xml:space="preserve">treatment been withheld,</w:t>
            </w:r>
            <w:r>
              <w:t xml:space="preserve"> </w:t>
            </w:r>
            <w:r>
              <w:t xml:space="preserve">so Zeus is counted in both the 75% and the 50%.</w:t>
            </w:r>
          </w:p>
          <w:p>
            <w:pPr>
              <w:pStyle w:val="BodyText"/>
            </w:pPr>
            <w:r>
              <w:t xml:space="preserve">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can be components of the same sufficient cause,</w:t>
            </w:r>
            <w:r>
              <w:t xml:space="preserve"> </w:t>
            </w:r>
            <w:r>
              <w:t xml:space="preserve">the fraction of disease attributable to each separately makes little sense</w:t>
            </w:r>
            <w:r>
              <w:t xml:space="preserve"> </w:t>
            </w:r>
            <w:r>
              <w:t xml:space="preserve">(Hernán and Robins 2020, Fine Point 5.4, p. 72)</w:t>
            </w:r>
            <w:r>
              <w:t xml:space="preserve">.</w:t>
            </w:r>
            <w:r>
              <w:t xml:space="preserve"> </w:t>
            </w:r>
            <w:r>
              <w:t xml:space="preserve">Phenylketonuria example: mental retardation occurs in genetically susceptible individuals who eat certain foods.</w:t>
            </w:r>
            <w:r>
              <w:t xml:space="preserve"> </w:t>
            </w:r>
            <w:r>
              <w:t xml:space="preserve">Removing the foods would prevent all cases, and so would replacing the susceptibility genes,</w:t>
            </w:r>
            <w:r>
              <w:t xml:space="preserve"> </w:t>
            </w:r>
            <w:r>
              <w:t xml:space="preserve">so the cases are both</w:t>
            </w:r>
            <w:r>
              <w:t xml:space="preserve"> </w:t>
            </w:r>
            <w:r>
              <w:t xml:space="preserve">“100% environmental”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“100% genetic”</w:t>
            </w:r>
            <w:r>
              <w:t xml:space="preserve">.</w:t>
            </w:r>
            <w:r>
              <w:t xml:space="preserve"> </w:t>
            </w:r>
            <w:r>
              <w:t xml:space="preserve">See Rothman, Greenland, and Lash (2008).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5.3: Monotonicity Rules Out Some Sufficient Causes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</w:t>
            </w:r>
            <w:r>
              <w:t xml:space="preserve"> </w:t>
            </w:r>
            <w:r>
              <w:t xml:space="preserve">and physical inactivity (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disease,</w:t>
            </w:r>
            <w:r>
              <w:t xml:space="preserve"> </w:t>
            </w:r>
            <w:r>
              <w:t xml:space="preserve">then no sufficient cause can contain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If a sufficient cause containing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existed,</w:t>
            </w:r>
            <w:r>
              <w:t xml:space="preserve"> </w:t>
            </w:r>
            <w:r>
              <w:t xml:space="preserve">some individuals (e.g.,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would develop the outcome when unexposed,</w:t>
            </w:r>
            <w:r>
              <w:t xml:space="preserve"> </w:t>
            </w:r>
            <w:r>
              <w:t xml:space="preserve">i.e., treating them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would prevent their outcome, contradicting monotonicity;</w:t>
            </w:r>
            <w:r>
              <w:t xml:space="preserve"> </w:t>
            </w:r>
            <w:r>
              <w:t xml:space="preserve">the same argument applies to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Figure 5.3 of the book crosses out the sufficient causes excluded this way</w:t>
            </w:r>
            <w:r>
              <w:t xml:space="preserve"> </w:t>
            </w:r>
            <w:r>
              <w:t xml:space="preserve">(Hernán and Robins 2020, Technical Point 5.3, pp. 73-74)</w:t>
            </w:r>
            <w:r>
              <w:t xml:space="preserve">.</w:t>
            </w:r>
          </w:p>
          <w:p/>
        </w:tc>
      </w:tr>
    </w:tbl>
    <w:bookmarkEnd w:id="56"/>
    <w:bookmarkEnd w:id="57"/>
    <w:bookmarkStart w:id="58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Interaction</w:t>
      </w:r>
      <w:r>
        <w:t xml:space="preserve"> </w:t>
      </w:r>
      <w:r>
        <w:t xml:space="preserve">between two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defined by joint counterfactuals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:</w:t>
      </w:r>
      <w:r>
        <w:t xml:space="preserve"> </w:t>
      </w:r>
      <w:r>
        <w:t xml:space="preserve">on the additive scale,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 definition symmetric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;</w:t>
      </w:r>
      <w:r>
        <w:t xml:space="preserve"> </w:t>
      </w:r>
      <w:r>
        <w:t xml:space="preserve">a multiplicative version uses risk ratios.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Identification</w:t>
      </w:r>
      <w:r>
        <w:t xml:space="preserve"> </w:t>
      </w:r>
      <w:r>
        <w:t xml:space="preserve">requires exchangeability, positivity, and consistency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if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coincides with effect modification by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Effect modification</w:t>
      </w:r>
      <w:r>
        <w:t xml:space="preserve"> </w:t>
      </w:r>
      <w:r>
        <w:t xml:space="preserve">can occur without interaction (surrogate modifiers).</w:t>
      </w:r>
    </w:p>
    <w:p>
      <w:pPr>
        <w:pStyle w:val="Compact"/>
        <w:numPr>
          <w:ilvl w:val="0"/>
          <w:numId w:val="1015"/>
        </w:numPr>
      </w:pPr>
      <w:r>
        <w:t xml:space="preserve">With deterministic, dichotomous counterfactuals there are</w:t>
      </w:r>
      <w:r>
        <w:t xml:space="preserve"> </w:t>
      </w:r>
      <w:r>
        <w:rPr>
          <w:b/>
          <w:bCs/>
        </w:rPr>
        <w:t xml:space="preserve">16 response types</w:t>
      </w:r>
      <w:r>
        <w:t xml:space="preserve">;</w:t>
      </w:r>
      <w:r>
        <w:t xml:space="preserve"> </w:t>
      </w:r>
      <w:r>
        <w:t xml:space="preserve">additive interaction requires individuals of interaction types, but their presence can cancel out.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Sufficient cause interaction</w:t>
      </w:r>
      <w:r>
        <w:t xml:space="preserve"> </w:t>
      </w:r>
      <w:r>
        <w:t xml:space="preserve">means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appear in the same sufficient cause;</w:t>
      </w:r>
      <w:r>
        <w:t xml:space="preserve"> </w:t>
      </w:r>
      <w:r>
        <w:t xml:space="preserve">synergism can sometimes be detected from counterfactual risks alone (Fine Point 5.1).</w:t>
      </w:r>
    </w:p>
    <w:p>
      <w:pPr>
        <w:pStyle w:val="Compact"/>
        <w:numPr>
          <w:ilvl w:val="0"/>
          <w:numId w:val="1015"/>
        </w:numPr>
      </w:pPr>
      <w:r>
        <w:t xml:space="preserve">The counterfactual framework answers</w:t>
      </w:r>
      <w:r>
        <w:t xml:space="preserve"> </w:t>
      </w:r>
      <w:r>
        <w:t xml:space="preserve">“what happens?”</w:t>
      </w:r>
      <w:r>
        <w:t xml:space="preserve"> </w:t>
      </w:r>
      <w:r>
        <w:t xml:space="preserve">and is the one used in the rest of the book;</w:t>
      </w:r>
      <w:r>
        <w:t xml:space="preserve"> </w:t>
      </w:r>
      <w:r>
        <w:t xml:space="preserve">sufficient-component causes answer</w:t>
      </w:r>
      <w:r>
        <w:t xml:space="preserve"> </w:t>
      </w:r>
      <w:r>
        <w:t xml:space="preserve">“how does it happen?”</w:t>
      </w:r>
      <w:r>
        <w:t xml:space="preserve"> </w:t>
      </w:r>
      <w:r>
        <w:t xml:space="preserve">and are mainly a teaching tool.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6 introduces causal diagrams,</w:t>
      </w:r>
      <w:r>
        <w:t xml:space="preserve"> </w:t>
      </w:r>
      <w:r>
        <w:t xml:space="preserve">which the book describes as essentially equivalent to the counterfactual framework.</w:t>
      </w:r>
    </w:p>
    <w:bookmarkEnd w:id="58"/>
    <w:bookmarkStart w:id="62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61" w:name="refs"/>
    <w:bookmarkStart w:id="6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5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60"/>
    <w:bookmarkEnd w:id="61"/>
    <w:bookmarkEnd w:id="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hyperlink" Id="rId5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5: Interaction</dc:title>
  <dc:creator/>
  <cp:keywords/>
  <dcterms:created xsi:type="dcterms:W3CDTF">2026-10-09T13:22:19Z</dcterms:created>
  <dcterms:modified xsi:type="dcterms:W3CDTF">2026-10-09T13:22:19Z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