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9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7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23.1: Proof of the mediation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proof of</w:t>
            </w:r>
            <w:r>
              <w:t xml:space="preserve"> </w:t>
            </w:r>
            <w:hyperlink w:anchor="thm-mediation-formula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makes three moves.</w:t>
            </w:r>
            <w:r>
              <w:t xml:space="preserve"> </w:t>
            </w:r>
            <w:r>
              <w:t xml:space="preserve">It averages over the value the mediator would take without treatment;</w:t>
            </w:r>
            <w:r>
              <w:t xml:space="preserve"> </w:t>
            </w:r>
            <w:r>
              <w:t xml:space="preserve">it drops the conditioning on that value by cross-world independence;</w:t>
            </w:r>
            <w:r>
              <w:t xml:space="preserve"> </w:t>
            </w:r>
            <w:r>
              <w:t xml:space="preserve">and it swaps the remaining counterfactual quantities for observed ones</w:t>
            </w:r>
            <w:r>
              <w:t xml:space="preserve"> </w:t>
            </w:r>
            <w:r>
              <w:t xml:space="preserve">by exchangeability and consistency.</w:t>
            </w:r>
            <w:r>
              <w:t xml:space="preserve"> </w:t>
            </w:r>
            <w:r>
              <w:t xml:space="preserve">Only the middle move is controversial:</w:t>
            </w:r>
            <w:r>
              <w:t xml:space="preserve"> </w:t>
            </w:r>
            <w:r>
              <w:t xml:space="preserve">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holds if Figure 23.1 is read as an NPSEM-IE,</w:t>
            </w:r>
            <w:r>
              <w:t xml:space="preserve"> </w:t>
            </w:r>
            <w:r>
              <w:t xml:space="preserve">but not if it is read as an FFRCISTG model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8"/>
    <w:bookmarkEnd w:id="19"/>
    <w:bookmarkStart w:id="27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23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23.2: When the mediation formula is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are exchangeable (Figure 23.3),</w:t>
            </w:r>
            <w:r>
              <w:t xml:space="preserve"> </w:t>
            </w:r>
            <w:r>
              <w:t xml:space="preserve">so the g-formula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except that nobody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Positivity, however, is sufficient rather than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the g-formula identifies the mean whenever it can be written as a function of the observed data.</w:t>
            </w:r>
            <w:r>
              <w:t xml:space="preserve"> </w:t>
            </w:r>
            <w:r>
              <w:t xml:space="preserve">The deterministic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O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together with assumptions (i) and (ii) of no direct effect,</w:t>
            </w:r>
            <w:r>
              <w:t xml:space="preserve"> </w:t>
            </w:r>
            <w:r>
              <w:t xml:space="preserve">make that function exactly the mediation formula (</w:t>
            </w:r>
            <w:hyperlink w:anchor="thm-mediation-g-formula">
              <w:r>
                <w:rPr>
                  <w:rStyle w:val="Hyperlink"/>
                </w:rPr>
                <w:t xml:space="preserve">Theorem 3</w:t>
              </w:r>
            </w:hyperlink>
            <w:r>
              <w:t xml:space="preserve">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book calls this derivation</w:t>
            </w:r>
            <w:r>
              <w:t xml:space="preserve"> </w:t>
            </w:r>
            <w:r>
              <w:t xml:space="preserve">“somewhat heuristic”</w:t>
            </w:r>
            <w:r>
              <w:t xml:space="preserve"> </w:t>
            </w:r>
            <w:r>
              <w:t xml:space="preserve">because determinism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creates null sets;</w:t>
            </w:r>
            <w:r>
              <w:t xml:space="preserve"> </w:t>
            </w:r>
            <w:r>
              <w:t xml:space="preserve">Robins et al. (2022) give a rigorous proof</w:t>
            </w:r>
            <w:r>
              <w:t xml:space="preserve"> </w:t>
            </w:r>
            <w:r>
              <w:t xml:space="preserve">using the SWIG Markov property of Technical Point 21.12.</w:t>
            </w:r>
            <w:r>
              <w:t xml:space="preserve"> </w:t>
            </w:r>
            <w:r>
              <w:t xml:space="preserve">In the same way, under the expanded diagram of Figure 23.7</w:t>
            </w:r>
            <w:r>
              <w:t xml:space="preserve"> </w:t>
            </w:r>
            <w:r>
              <w:t xml:space="preserve">the g-formula equals the front door formula (Technical Point 23.3)</w:t>
            </w:r>
            <w:r>
              <w:t xml:space="preserve"> </w:t>
            </w:r>
            <w:r>
              <w:t xml:space="preserve">(Hernán and Robins 2020, 326)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3"/>
    <w:bookmarkStart w:id="24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24"/>
    <w:bookmarkStart w:id="26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6"/>
    <w:bookmarkEnd w:id="27"/>
    <w:bookmarkStart w:id="34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bookmarkStart w:id="31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2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32"/>
    <w:bookmarkStart w:id="33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33"/>
    <w:bookmarkEnd w:id="34"/>
    <w:bookmarkStart w:id="43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5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5"/>
    <w:bookmarkStart w:id="38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8"/>
    <w:bookmarkStart w:id="41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42"/>
    <w:bookmarkEnd w:id="43"/>
    <w:bookmarkStart w:id="44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4"/>
    <w:bookmarkStart w:id="48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2026-10-09T10:23:53Z</dcterms:created>
  <dcterms:modified xsi:type="dcterms:W3CDTF">2026-10-09T10:23:53Z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