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16: Instrumental Variable Estimation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Every method in the previous chapters needs all the variables required to adjust for confounding and selection bias to be identified and measured correctly.</w:t>
      </w:r>
      <w:r>
        <w:t xml:space="preserve"> </w:t>
      </w:r>
      <w:r>
        <w:rPr>
          <w:b/>
          <w:bCs/>
        </w:rPr>
        <w:t xml:space="preserve">Instrumental variable (IV) estimation</w:t>
      </w:r>
      <w:r>
        <w:t xml:space="preserve"> </w:t>
      </w:r>
      <w:r>
        <w:t xml:space="preserve">replaces that untestable assumption with a different set of (also untestable) assumptions,</w:t>
      </w:r>
      <w:r>
        <w:t xml:space="preserve"> </w:t>
      </w:r>
      <w:r>
        <w:t xml:space="preserve">built around a variable</w:t>
      </w:r>
      <w:r>
        <w:t xml:space="preserve"> </w:t>
      </w:r>
      <m:oMath>
        <m:r>
          <m:t>Z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instrument</w:t>
      </w:r>
      <w:r>
        <w:t xml:space="preserve">, that does not require measuring the confounders.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16, pp. 209-225)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theme</w:t>
      </w:r>
      <w:r>
        <w:t xml:space="preserve">: an instrument alone identifies only bounds on the average causal effect.</w:t>
      </w:r>
      <w:r>
        <w:t xml:space="preserve"> </w:t>
      </w:r>
      <w:r>
        <w:t xml:space="preserve">A point estimate needs a fourth, untestable condition:</w:t>
      </w:r>
      <w:r>
        <w:t xml:space="preserve"> </w:t>
      </w:r>
      <w:r>
        <w:t xml:space="preserve">either some form of</w:t>
      </w:r>
      <w:r>
        <w:t xml:space="preserve"> </w:t>
      </w:r>
      <w:r>
        <w:rPr>
          <w:b/>
          <w:bCs/>
        </w:rPr>
        <w:t xml:space="preserve">effect homogeneity</w:t>
      </w:r>
      <w:r>
        <w:t xml:space="preserve"> </w:t>
      </w:r>
      <w:r>
        <w:t xml:space="preserve">(giving the average causal effect in the population)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monotonicity</w:t>
      </w:r>
      <w:r>
        <w:t xml:space="preserve"> </w:t>
      </w:r>
      <w:r>
        <w:t xml:space="preserve">(giving the effect in the</w:t>
      </w:r>
      <w:r>
        <w:t xml:space="preserve"> </w:t>
      </w:r>
      <w:r>
        <w:t xml:space="preserve">“compliers”</w:t>
      </w:r>
      <w:r>
        <w:t xml:space="preserve"> </w:t>
      </w:r>
      <w:r>
        <w:t xml:space="preserve">only).</w:t>
      </w:r>
      <w:r>
        <w:t xml:space="preserve"> </w:t>
      </w:r>
      <w:r>
        <w:t xml:space="preserve">And because the IV estimator divides by the instrument-treatment association,</w:t>
      </w:r>
      <w:r>
        <w:t xml:space="preserve"> </w:t>
      </w:r>
      <w:r>
        <w:t xml:space="preserve">small violations of any condition can produce large biases.</w:t>
      </w:r>
    </w:p>
    <w:bookmarkStart w:id="21" w:name="X40c8cab56a12743ad3d111724a0680e26207c7f"/>
    <w:p>
      <w:pPr>
        <w:pStyle w:val="Heading2"/>
      </w:pPr>
      <w:r>
        <w:t xml:space="preserve">1 16.1 The Three Instrumental Conditions (pp. 209-212)</w:t>
      </w:r>
    </w:p>
    <w:p>
      <w:r>
        <w:pict>
          <v:rect style="width:0;height:1.5pt" o:hralign="center" o:hrstd="t" o:hr="t"/>
        </w:pict>
      </w:r>
    </w:p>
    <w:bookmarkStart w:id="13" w:name="a-double-blind-randomized-trial"/>
    <w:p>
      <w:pPr>
        <w:pStyle w:val="Heading3"/>
      </w:pPr>
      <w:r>
        <w:t xml:space="preserve">1.1 A Double-Blind Randomized Trial</w:t>
      </w:r>
    </w:p>
    <w:p>
      <w:pPr>
        <w:pStyle w:val="Compact"/>
        <w:numPr>
          <w:ilvl w:val="0"/>
          <w:numId w:val="1001"/>
        </w:numPr>
      </w:pPr>
      <m:oMath>
        <m:r>
          <m:t>Z</m:t>
        </m:r>
      </m:oMath>
      <w:r>
        <w:t xml:space="preserve">: randomization assignment (1: treatment, 0: placebo)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</m:oMath>
      <w:r>
        <w:t xml:space="preserve">: treatment actually received (1: yes, 0: no); not everyone adheres</w:t>
      </w:r>
    </w:p>
    <w:p>
      <w:pPr>
        <w:pStyle w:val="Compact"/>
        <w:numPr>
          <w:ilvl w:val="0"/>
          <w:numId w:val="1001"/>
        </w:numPr>
      </w:pPr>
      <m:oMath>
        <m:r>
          <m:t>Y</m:t>
        </m:r>
      </m:oMath>
      <w:r>
        <w:t xml:space="preserve">: outcome</w:t>
      </w:r>
    </w:p>
    <w:p>
      <w:pPr>
        <w:pStyle w:val="Compact"/>
        <w:numPr>
          <w:ilvl w:val="0"/>
          <w:numId w:val="1001"/>
        </w:numPr>
      </w:pPr>
      <m:oMath>
        <m:r>
          <m:t>U</m:t>
        </m:r>
      </m:oMath>
      <w:r>
        <w:t xml:space="preserve">: factors, some unmeasured, that affect both adherence and the outcome</w:t>
      </w:r>
    </w:p>
    <w:p>
      <w:pPr>
        <w:pStyle w:val="FirstParagraph"/>
      </w:pPr>
      <w:r>
        <w:t xml:space="preserve">In the book’s Figure 16.1,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, with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BodyText"/>
      </w:pPr>
      <w:r>
        <w:t xml:space="preserve">Adjustment methods (IP weighting, standardization, g-estimation, stratification, matching) need to block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w:r>
        <w:t xml:space="preserve">so they are biased if part of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unmeasured or mismeasured.</w:t>
      </w:r>
      <w:r>
        <w:t xml:space="preserve"> </w:t>
      </w:r>
      <w:r>
        <w:t xml:space="preserve">IV methods may identify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without measuring</w:t>
      </w:r>
      <w:r>
        <w:t xml:space="preserve"> </w:t>
      </w:r>
      <m:oMath>
        <m:r>
          <m:t>U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def-instrumental-conditions"/>
          <w:p>
            <w:pPr>
              <w:pStyle w:val="BodyText"/>
            </w:pPr>
            <w:r>
              <w:rPr>
                <w:b/>
                <w:bCs/>
              </w:rPr>
              <w:t xml:space="preserve">Definition 1 (The Three Instrumental Conditions)</w:t>
            </w:r>
            <w:r>
              <w:t xml:space="preserve"> </w:t>
            </w:r>
            <w:r>
              <w:t xml:space="preserve">A variable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an</w:t>
            </w:r>
            <w:r>
              <w:t xml:space="preserve"> </w:t>
            </w:r>
            <w:r>
              <w:rPr>
                <w:b/>
                <w:bCs/>
              </w:rPr>
              <w:t xml:space="preserve">instrument</w:t>
            </w:r>
            <w:r>
              <w:t xml:space="preserve"> </w:t>
            </w:r>
            <w:r>
              <w:t xml:space="preserve">for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if it meets three conditions</w:t>
            </w:r>
            <w:r>
              <w:t xml:space="preserve"> </w:t>
            </w:r>
            <w:r>
              <w:t xml:space="preserve">(Hernán and Robins 2020, 209)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(i)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(ii)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does not affect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except through its potential effect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(iii)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do not share causes.</w:t>
            </w:r>
          </w:p>
          <w:bookmarkEnd w:id="9"/>
        </w:tc>
      </w:tr>
    </w:tbl>
    <w:p>
      <w:pPr>
        <w:pStyle w:val="FirstParagraph"/>
      </w:pPr>
      <w:r>
        <w:t xml:space="preserve">In the double-blind trial,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an instrument:</w:t>
      </w:r>
      <w:r>
        <w:t xml:space="preserve"> </w:t>
      </w:r>
      <w:r>
        <w:t xml:space="preserve">(i) holds because those assigned to treatment are more likely to take it,</w:t>
      </w:r>
      <w:r>
        <w:t xml:space="preserve"> </w:t>
      </w:r>
      <w:r>
        <w:t xml:space="preserve">(ii) is expected from blinding,</w:t>
      </w:r>
      <w:r>
        <w:t xml:space="preserve"> </w:t>
      </w:r>
      <w:r>
        <w:t xml:space="preserve">and (iii) is expected from random assignment.</w:t>
      </w:r>
    </w:p>
    <w:p>
      <w:pPr>
        <w:pStyle w:val="BodyText"/>
      </w:pPr>
      <w:r>
        <w:t xml:space="preserve">Condition (ii) would fail if, for example, side effects of treatment inadvertently unblinded participants</w:t>
      </w:r>
      <w:r>
        <w:t xml:space="preserve"> </w:t>
      </w:r>
      <w:r>
        <w:t xml:space="preserve">(Hernán and Robins 2020, 209)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16.1: The Instrumental Conditions, Formally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(i) Relevance</w:t>
            </w:r>
            <w:r>
              <w:t xml:space="preserve">: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associated, i.e.,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does not hold.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(ii) Exclusion restriction</w:t>
            </w:r>
            <w:r>
              <w:t xml:space="preserve"> </w:t>
            </w:r>
            <w:r>
              <w:t xml:space="preserve">(</w:t>
            </w:r>
            <w:r>
              <w:t xml:space="preserve">“no direct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”</w:t>
            </w:r>
            <w:r>
              <w:t xml:space="preserve">):</w:t>
            </w:r>
            <w:r>
              <w:t xml:space="preserve"> </w:t>
            </w:r>
            <w:r>
              <w:t xml:space="preserve">at the individual level,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sSup>
                    <m:e>
                      <m:r>
                        <m:t>z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,</m:t>
              </m:r>
              <m:sSup>
                <m:e>
                  <m:r>
                    <m:t>z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, all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all individuals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;</w:t>
            </w:r>
            <w:r>
              <w:t xml:space="preserve"> </w:t>
            </w:r>
            <w:r>
              <w:t xml:space="preserve">some results only need the population-level version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p>
                        <m:e>
                          <m:r>
                            <m:t>z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  <m:r>
                        <m:rPr>
                          <m:sty m:val="p"/>
                        </m:rPr>
                        <m:t>,</m:t>
                      </m:r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(iii)</w:t>
            </w:r>
            <w:r>
              <w:t xml:space="preserve"> </w:t>
            </w:r>
            <w:r>
              <w:t xml:space="preserve">as</w:t>
            </w:r>
            <w:r>
              <w:t xml:space="preserve"> </w:t>
            </w:r>
            <w:r>
              <w:rPr>
                <w:b/>
                <w:bCs/>
              </w:rPr>
              <w:t xml:space="preserve">marginal exchangeability</w:t>
            </w:r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together with the individual-level (ii) it implies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 stronger version is</w:t>
            </w:r>
            <w:r>
              <w:t xml:space="preserve"> </w:t>
            </w:r>
            <w:r>
              <w:rPr>
                <w:b/>
                <w:bCs/>
              </w:rPr>
              <w:t xml:space="preserve">joint exchangeability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p>
              <m:r>
                <m:rPr>
                  <m:sty m:val="p"/>
                </m:rPr>
                <m:t>;</m:t>
              </m:r>
              <m:r>
                <m:t> 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z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 </w:t>
            </w:r>
            <w:r>
              <w:t xml:space="preserve">(dichotomous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All of these are expected to hold in a double-blind randomized trial</w:t>
            </w:r>
            <w:r>
              <w:t xml:space="preserve"> </w:t>
            </w:r>
            <w:r>
              <w:t xml:space="preserve">(Hernán and Robins 2020, 210)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3"/>
    <w:bookmarkStart w:id="14" w:name="causal-and-surrogate-instruments"/>
    <w:p>
      <w:pPr>
        <w:pStyle w:val="Heading3"/>
      </w:pPr>
      <w:r>
        <w:t xml:space="preserve">1.2 Causal and Surrogate Instruments</w:t>
      </w:r>
    </w:p>
    <w:p>
      <w:pPr>
        <w:pStyle w:val="Compact"/>
        <w:numPr>
          <w:ilvl w:val="0"/>
          <w:numId w:val="1004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causal instrument</w:t>
      </w:r>
      <w:r>
        <w:t xml:space="preserve"> </w:t>
      </w:r>
      <w:r>
        <w:t xml:space="preserve">has a causal effect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 16.1).</w:t>
      </w:r>
    </w:p>
    <w:p>
      <w:pPr>
        <w:pStyle w:val="Compact"/>
        <w:numPr>
          <w:ilvl w:val="0"/>
          <w:numId w:val="1004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surrogate instrument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has no effect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is associated with an unmeasured causal instrument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(Figure 16.2).</w:t>
      </w:r>
      <w:r>
        <w:t xml:space="preserve"> </w:t>
      </w:r>
      <w:r>
        <w:t xml:space="preserve">Condition (i) then holds through the shared cause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, and (iii) becomes</w:t>
      </w:r>
      <w:r>
        <w:t xml:space="preserve"> </w:t>
      </w:r>
      <w:r>
        <w:t xml:space="preserve">“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share no causes other than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.”</w:t>
      </w:r>
    </w:p>
    <w:p>
      <w:pPr>
        <w:pStyle w:val="FirstParagraph"/>
      </w:pPr>
      <w:r>
        <w:t xml:space="preserve">In the book’s Figure 16.2,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  <m:r>
          <m:rPr>
            <m:sty m:val="p"/>
          </m:rPr>
          <m:t>→</m:t>
        </m:r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, with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BodyText"/>
      </w:pPr>
      <w:r>
        <w:t xml:space="preserve">Both kinds of instrument can be used for IV estimation, with caveats discussed in Section 16.4.</w:t>
      </w:r>
      <w:r>
        <w:t xml:space="preserve"> </w:t>
      </w:r>
      <w:r>
        <w:t xml:space="preserve">The book’s Figure 16.3 shows a more unusual surrogate instrument: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become associated because the analysis is restricted to a selected population, i.e., conditions on a common effect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(Hernán and Robins 2020, 210)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4"/>
    <w:bookmarkStart w:id="17" w:name="a-candidate-instrument-in-nhefs"/>
    <w:p>
      <w:pPr>
        <w:pStyle w:val="Heading3"/>
      </w:pPr>
      <w:r>
        <w:t xml:space="preserve">1.3 A Candidate Instrument in NHEFS</w:t>
      </w:r>
    </w:p>
    <w:p>
      <w:pPr>
        <w:pStyle w:val="FirstParagraph"/>
      </w:pPr>
      <w:r>
        <w:t xml:space="preserve">To estimate the effect of smoking cessation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weight gain</w:t>
      </w:r>
      <w:r>
        <w:t xml:space="preserve"> </w:t>
      </w:r>
      <m:oMath>
        <m:r>
          <m:t>Y</m:t>
        </m:r>
      </m:oMath>
      <w:r>
        <w:t xml:space="preserve">, the book proposes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if the average price of a pack of cigarettes in the individual’s U.S. state of birth was greater than $1.50, and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otherwise</w:t>
      </w:r>
      <w:r>
        <w:t xml:space="preserve"> </w:t>
      </w:r>
      <w:r>
        <w:t xml:space="preserve">(Hernán and Robins 2020, 210)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Condition (i) is the only one that can be checked: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Z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25.8</m:t>
        </m:r>
        <m:r>
          <m:rPr>
            <m:sty m:val="p"/>
          </m:rPr>
          <m:t>%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Z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19.5</m:t>
        </m:r>
        <m:r>
          <m:rPr>
            <m:sty m:val="p"/>
          </m:rPr>
          <m:t>%</m:t>
        </m:r>
      </m:oMath>
      <w:r>
        <w:t xml:space="preserve">,</w:t>
      </w:r>
      <w:r>
        <w:t xml:space="preserve"> </w:t>
      </w:r>
      <w:r>
        <w:t xml:space="preserve">a risk difference of about 6%.</w:t>
      </w:r>
      <w:r>
        <w:t xml:space="preserve"> </w:t>
      </w:r>
      <w:r>
        <w:t xml:space="preserve">So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weak instrument</w:t>
      </w:r>
      <w:r>
        <w:t xml:space="preserve"> </w:t>
      </w:r>
      <w:r>
        <w:t xml:space="preserve">(Section 16.5).</w:t>
      </w:r>
    </w:p>
    <w:p>
      <w:pPr>
        <w:pStyle w:val="Compact"/>
        <w:numPr>
          <w:ilvl w:val="0"/>
          <w:numId w:val="1005"/>
        </w:numPr>
      </w:pPr>
      <w:r>
        <w:t xml:space="preserve">Conditions (ii) and (iii) cannot be verified.</w:t>
      </w:r>
      <w:r>
        <w:t xml:space="preserve"> </w:t>
      </w:r>
      <w:r>
        <w:t xml:space="preserve">Conditioning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help: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collider on</w:t>
      </w:r>
      <w:r>
        <w:t xml:space="preserve"> </w:t>
      </w:r>
      <m:oMath>
        <m:r>
          <m:t>Z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Z</m:t>
            </m:r>
          </m:sub>
        </m:sSub>
        <m:r>
          <m:rPr>
            <m:sty m:val="p"/>
          </m:rPr>
          <m:t>→</m:t>
        </m:r>
        <m:r>
          <m:t>A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</w:p>
    <w:p>
      <w:pPr>
        <w:pStyle w:val="FirstParagraph"/>
      </w:pPr>
      <w:r>
        <w:t xml:space="preserve">“Price in state of birth”</w:t>
      </w:r>
      <w:r>
        <w:t xml:space="preserve"> </w:t>
      </w:r>
      <w:r>
        <w:t xml:space="preserve">would meet condition (i) through the unmeasured causal instrument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“price in place of residence”</w:t>
      </w:r>
      <w:r>
        <w:t xml:space="preserve">, so it is a surrogate instrument</w:t>
      </w:r>
      <w:r>
        <w:t xml:space="preserve"> </w:t>
      </w:r>
      <w:r>
        <w:t xml:space="preserve">(Hernán and Robins 2020, 210)</w:t>
      </w:r>
      <w:r>
        <w:t xml:space="preserve">.</w:t>
      </w:r>
    </w:p>
    <w:p>
      <w:pPr>
        <w:pStyle w:val="BodyText"/>
      </w:pPr>
      <w:r>
        <w:t xml:space="preserve">Because only (i) is checkable, the book calls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proposed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candidate</w:t>
      </w:r>
      <w:r>
        <w:t xml:space="preserve"> </w:t>
      </w:r>
      <w:r>
        <w:t xml:space="preserve">instrument:</w:t>
      </w:r>
      <w:r>
        <w:t xml:space="preserve"> </w:t>
      </w:r>
      <w:r>
        <w:t xml:space="preserve">we argue for (ii) and (iii) with subject-matter knowledge, just as we argue for the identifying assumptions of other methods.</w:t>
      </w:r>
      <w:r>
        <w:t xml:space="preserve"> </w:t>
      </w:r>
      <w:r>
        <w:t xml:space="preserve">Falsification tests exist that use data on</w:t>
      </w:r>
      <w:r>
        <w:t xml:space="preserve"> </w:t>
      </w:r>
      <m:oMath>
        <m:r>
          <m:t>Z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, 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but they can reject only a small subset of violations,</w:t>
      </w:r>
      <w:r>
        <w:t xml:space="preserve"> </w:t>
      </w:r>
      <w:r>
        <w:t xml:space="preserve">and for most violations they have no power at any sample size</w:t>
      </w:r>
      <w:r>
        <w:t xml:space="preserve"> </w:t>
      </w:r>
      <w:r>
        <w:t xml:space="preserve">(Hernán and Robins 2020, 211)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16.1: Candidate Instruments in Observational Studies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Three common categories</w:t>
            </w:r>
            <w:r>
              <w:t xml:space="preserve"> </w:t>
            </w:r>
            <w:r>
              <w:t xml:space="preserve">(Hernán and Robins 2020, 211)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Genetic factors</w:t>
            </w:r>
            <w:r>
              <w:t xml:space="preserve">: a genetic variant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assumed to affect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e.g., a polymorphism affecting alcohol metabolism (such as ALDH2 in Asian populations) for the effect of alcohol on coronary heart disease.</w:t>
            </w:r>
            <w:r>
              <w:t xml:space="preserve"> </w:t>
            </w:r>
            <w:r>
              <w:t xml:space="preserve">This is the framework of</w:t>
            </w:r>
            <w:r>
              <w:t xml:space="preserve"> </w:t>
            </w:r>
            <w:r>
              <w:rPr>
                <w:b/>
                <w:bCs/>
              </w:rPr>
              <w:t xml:space="preserve">Mendelian randomization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Preference</w:t>
            </w:r>
            <w:r>
              <w:t xml:space="preserve">: a physician’s preference for one treatment over another.</w:t>
            </w:r>
            <w:r>
              <w:t xml:space="preserve"> </w:t>
            </w:r>
            <w:r>
              <w:t xml:space="preserve">Preference itself (</w:t>
            </w:r>
            <m:oMath>
              <m:sSub>
                <m:e>
                  <m:r>
                    <m:t>U</m:t>
                  </m:r>
                </m:e>
                <m:sub>
                  <m:r>
                    <m:t>Z</m:t>
                  </m:r>
                </m:sub>
              </m:sSub>
            </m:oMath>
            <w:r>
              <w:t xml:space="preserve">) is unmeasured, so a surrogate such as</w:t>
            </w:r>
            <w:r>
              <w:t xml:space="preserve"> </w:t>
            </w:r>
            <w:r>
              <w:t xml:space="preserve">“last prescription the physician issued before the current one”</w:t>
            </w:r>
            <w:r>
              <w:t xml:space="preserve"> </w:t>
            </w:r>
            <w:r>
              <w:t xml:space="preserve">is used.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Access</w:t>
            </w:r>
            <w:r>
              <w:t xml:space="preserve">: distance or travel time to a facility, calendar period when access changed over time, or the price of treatment (the book’s example).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7"/>
    <w:bookmarkStart w:id="20" w:name="what-an-instrument-alone-buys-bounds"/>
    <w:p>
      <w:pPr>
        <w:pStyle w:val="Heading3"/>
      </w:pPr>
      <w:r>
        <w:t xml:space="preserve">1.4 What an Instrument Alone Buys: Bounds</w:t>
      </w:r>
    </w:p>
    <w:p>
      <w:pPr>
        <w:pStyle w:val="FirstParagraph"/>
      </w:pPr>
      <w:r>
        <w:t xml:space="preserve">Under conditions (i)-(iii) alone, the average causal effect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point identified;</w:t>
      </w:r>
      <w:r>
        <w:t xml:space="preserve"> </w:t>
      </w:r>
      <w:r>
        <w:t xml:space="preserve">only upper and lower bounds are, and they are typically wide and often include the null</w:t>
      </w:r>
      <w:r>
        <w:t xml:space="preserve"> </w:t>
      </w:r>
      <w:r>
        <w:t xml:space="preserve">(Hernán and Robins 2020, 212)</w:t>
      </w:r>
      <w:r>
        <w:t xml:space="preserve">.</w:t>
      </w:r>
      <w:r>
        <w:t xml:space="preserve"> </w:t>
      </w:r>
      <w:r>
        <w:t xml:space="preserve">In the smoking example, the bounds would only say that quitting can cause weight gain, weight loss, or no change.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16.2: Partial Identification (Bounds)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dichotomous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lies a priori 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 an interval of width 2.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Data alone</w:t>
            </w:r>
            <w:r>
              <w:t xml:space="preserve">: assigning each individual’s unobserved counterfactual its most extreme possible value halves the width,</w:t>
            </w:r>
            <w:r>
              <w:t xml:space="preserve"> </w:t>
            </w:r>
            <w:r>
              <w:t xml:space="preserve">but the bounds still include 0.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Natural bounds</w:t>
            </w:r>
            <w:r>
              <w:t xml:space="preserve"> </w:t>
            </w:r>
            <w:r>
              <w:t xml:space="preserve">(instrumental condition (ii) at the population level plus marginal exchangeability (iii)):</w:t>
            </w:r>
            <w:r>
              <w:t xml:space="preserve"> </w:t>
            </w:r>
            <w:r>
              <w:t xml:space="preserve">width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Sharp bounds</w:t>
            </w:r>
            <w:r>
              <w:t xml:space="preserve">: narrower still, under joint exchangeability.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These bounds are often too wide to be informative.</w:t>
            </w:r>
            <w:r>
              <w:t xml:space="preserve"> </w:t>
            </w:r>
            <w:r>
              <w:t xml:space="preserve">Sufficiently strong parametric assumptions about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(Section 16.2 onward) collapse them to a single number</w:t>
            </w:r>
            <w:r>
              <w:t xml:space="preserve"> </w:t>
            </w:r>
            <w:r>
              <w:t xml:space="preserve">(Hernán and Robins 2020, 212)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Why the data alone halve the width:</w:t>
      </w:r>
      <w:r>
        <w:t xml:space="preserve"> </w:t>
      </w:r>
      <w:r>
        <w:t xml:space="preserve">for a dichotomous</w:t>
      </w:r>
      <w:r>
        <w:t xml:space="preserve"> </w:t>
      </w:r>
      <m:oMath>
        <m:r>
          <m:t>Y</m:t>
        </m:r>
      </m:oMath>
      <w:r>
        <w:t xml:space="preserve">, each individual contributes one observed counterfactual,</w:t>
      </w:r>
      <w:r>
        <w:t xml:space="preserve"> </w:t>
      </w:r>
      <w:r>
        <w:t xml:space="preserve">so only the unobserved half of each individual’s pair is unknown.</w:t>
      </w:r>
      <w:r>
        <w:t xml:space="preserve"> </w:t>
      </w:r>
      <w:r>
        <w:t xml:space="preserve">For a continuous</w:t>
      </w:r>
      <w:r>
        <w:t xml:space="preserve"> </w:t>
      </w:r>
      <m:oMath>
        <m:r>
          <m:t>Y</m:t>
        </m:r>
      </m:oMath>
      <w:r>
        <w:t xml:space="preserve">, bounds require choosing a minimum and maximum possible outcome, and their width depends on that choice</w:t>
      </w:r>
      <w:r>
        <w:t xml:space="preserve"> </w:t>
      </w:r>
      <w:r>
        <w:t xml:space="preserve">(Hernán and Robins 2020, 212)</w:t>
      </w:r>
      <w:r>
        <w:t xml:space="preserve">.</w:t>
      </w:r>
    </w:p>
    <w:bookmarkEnd w:id="20"/>
    <w:bookmarkEnd w:id="21"/>
    <w:bookmarkStart w:id="26" w:name="the-usual-iv-estimand-pp.-212-214"/>
    <w:p>
      <w:pPr>
        <w:pStyle w:val="Heading2"/>
      </w:pPr>
      <w:r>
        <w:t xml:space="preserve">2 16.2 The Usual IV Estimand (pp. 212-214)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a dichotomous instrument meeting (i)-(iii), plus a condition (iv) described in Section 16.3,</w:t>
      </w:r>
      <w:r>
        <w:t xml:space="preserve"> </w:t>
      </w:r>
      <w:r>
        <w:t xml:space="preserve">the average causal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identified and equals the</w:t>
      </w:r>
      <w:r>
        <w:t xml:space="preserve"> </w:t>
      </w:r>
      <w:r>
        <w:rPr>
          <w:b/>
          <w:bCs/>
        </w:rPr>
        <w:t xml:space="preserve">usual IV estimand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num>
            <m:den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a dichotomous treatment,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Z</m:t>
        </m:r>
        <m:r>
          <m:rPr>
            <m:sty m:val="p"/>
          </m:rPr>
          <m:t>=</m:t>
        </m:r>
        <m:r>
          <m:t>z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For a continuous instrument, the usual IV estimand is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,</m:t>
            </m:r>
            <m:r>
              <m:t>Z</m:t>
            </m:r>
          </m:e>
        </m:d>
        <m:r>
          <m:t>​</m:t>
        </m:r>
        <m:r>
          <m:rPr>
            <m:sty m:val="p"/>
          </m:rPr>
          <m:t>/</m:t>
        </m:r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Z</m:t>
            </m:r>
          </m:e>
        </m:d>
        <m:r>
          <m:t>​</m:t>
        </m:r>
      </m:oMath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23" w:name="intuition-from-the-randomized-trial"/>
    <w:p>
      <w:pPr>
        <w:pStyle w:val="Heading3"/>
      </w:pPr>
      <w:r>
        <w:t xml:space="preserve">2.1 Intuition from the Randomized Trial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Numerator</w:t>
      </w:r>
      <w:r>
        <w:t xml:space="preserve">: the effect of assignment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intention-to-treat effect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Denominator</w:t>
      </w:r>
      <w:r>
        <w:t xml:space="preserve">: the effect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A</m:t>
        </m:r>
      </m:oMath>
      <w:r>
        <w:t xml:space="preserve">, a measure of</w:t>
      </w:r>
      <w:r>
        <w:t xml:space="preserve"> </w:t>
      </w:r>
      <w:r>
        <w:rPr>
          <w:b/>
          <w:bCs/>
        </w:rPr>
        <w:t xml:space="preserve">adherence</w:t>
      </w:r>
      <w:r>
        <w:t xml:space="preserve">.</w:t>
      </w:r>
    </w:p>
    <w:p>
      <w:pPr>
        <w:pStyle w:val="FirstParagraph"/>
      </w:pPr>
      <w:r>
        <w:t xml:space="preserve">Both can be estimated without adjustment because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randomized.</w:t>
      </w:r>
      <w:r>
        <w:t xml:space="preserve"> </w:t>
      </w:r>
      <w:r>
        <w:t xml:space="preserve">With perfect adherence the denominator is 1 and the IV estimand equals the intention-to-treat effect;</w:t>
      </w:r>
      <w:r>
        <w:t xml:space="preserve"> </w:t>
      </w:r>
      <w:r>
        <w:t xml:space="preserve">as adherence worsens the denominator approaches 0 and the IV estimand is increasingly inflated relative to the intention-to-treat effect.</w:t>
      </w:r>
    </w:p>
    <w:p>
      <w:pPr>
        <w:pStyle w:val="BodyText"/>
      </w:pPr>
      <w:r>
        <w:t xml:space="preserve">So the IV estimand avoids adjusting for confounders by</w:t>
      </w:r>
      <w:r>
        <w:t xml:space="preserve"> </w:t>
      </w:r>
      <w:r>
        <w:rPr>
          <w:b/>
          <w:bCs/>
        </w:rPr>
        <w:t xml:space="preserve">inflating</w:t>
      </w:r>
      <w:r>
        <w:t xml:space="preserve"> </w:t>
      </w:r>
      <w:r>
        <w:t xml:space="preserve">the effect of assignment.</w:t>
      </w:r>
      <w:r>
        <w:t xml:space="preserve"> </w:t>
      </w:r>
      <w:r>
        <w:t xml:space="preserve">In observational studies the denominator is the effect of a causal instrument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 16.1),</w:t>
      </w:r>
      <w:r>
        <w:t xml:space="preserve"> </w:t>
      </w:r>
      <w:r>
        <w:t xml:space="preserve">or the noncausal association between a surrogate instrument 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(Figures 16.2 and 16.3)</w:t>
      </w:r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exm-nhefs-iv"/>
          <w:p>
            <w:pPr>
              <w:pStyle w:val="BodyText"/>
            </w:pPr>
            <w:r>
              <w:rPr>
                <w:b/>
                <w:bCs/>
              </w:rPr>
              <w:t xml:space="preserve">Example 1 (Usual IV Estimate in NHEFS)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= 1 for a state with high cigarette price</w:t>
            </w:r>
            <w:r>
              <w:t xml:space="preserve"> </w:t>
            </w:r>
            <w:r>
              <w:t xml:space="preserve">(Hernán and Robins 2020, 213)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2.686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2.536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0.1503</m:t>
                    </m:r>
                  </m:e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0.2578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0.1951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0.0627</m:t>
                    </m:r>
                  </m:e>
                  <m:e>
                    <m:r>
                      <m:rPr>
                        <m:nor/>
                        <m:sty m:val="p"/>
                      </m:rPr>
                      <m:t>IV estimate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0.1503</m:t>
                        </m:r>
                      </m:num>
                      <m:den>
                        <m:r>
                          <m:t>0.0627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2.4</m:t>
                    </m:r>
                    <m:r>
                      <m:rPr>
                        <m:nor/>
                        <m:sty m:val="p"/>
                      </m:rPr>
                      <m:t> kg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Under (i)-(iv), this estimates the average causal effect of smoking cessation on weight gain.</w:t>
            </w:r>
          </w:p>
          <w:bookmarkEnd w:id="22"/>
        </w:tc>
      </w:tr>
    </w:tbl>
    <w:p>
      <w:pPr>
        <w:pStyle w:val="BodyText"/>
      </w:pPr>
      <w:r>
        <w:t xml:space="preserve">The numerator difference is reported to four decimals (0.1503), presumably computed from unrounded means;</w:t>
      </w:r>
      <w:r>
        <w:t xml:space="preserve"> </w:t>
      </w:r>
      <w:r>
        <w:t xml:space="preserve">the rounded means shown give</w:t>
      </w:r>
      <w:r>
        <w:t xml:space="preserve"> </w:t>
      </w:r>
      <m:oMath>
        <m:r>
          <m:t>2.686</m:t>
        </m:r>
        <m:r>
          <m:rPr>
            <m:sty m:val="p"/>
          </m:rPr>
          <m:t>−</m:t>
        </m:r>
        <m:r>
          <m:t>2.536</m:t>
        </m:r>
        <m:r>
          <m:rPr>
            <m:sty m:val="p"/>
          </m:rPr>
          <m:t>=</m:t>
        </m:r>
        <m:r>
          <m:t>0.150</m:t>
        </m:r>
      </m:oMath>
      <w:r>
        <w:t xml:space="preserve">.</w:t>
      </w:r>
      <w:r>
        <w:t xml:space="preserve"> </w:t>
      </w:r>
      <w:r>
        <w:t xml:space="preserve">This ratio is also called the</w:t>
      </w:r>
      <w:r>
        <w:t xml:space="preserve"> </w:t>
      </w:r>
      <w:r>
        <w:rPr>
          <w:b/>
          <w:bCs/>
        </w:rPr>
        <w:t xml:space="preserve">Wald estimator</w:t>
      </w:r>
      <w:r>
        <w:t xml:space="preserve">.</w:t>
      </w:r>
      <w:r>
        <w:t xml:space="preserve"> </w:t>
      </w:r>
      <w:r>
        <w:t xml:space="preserve">The book excludes individuals with a missing outcome or instrument for simplicity;</w:t>
      </w:r>
      <w:r>
        <w:t xml:space="preserve"> </w:t>
      </w:r>
      <w:r>
        <w:t xml:space="preserve">in practice IP weighting could adjust for the resulting selection bias</w:t>
      </w:r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two-stage-least-squares"/>
    <w:p>
      <w:pPr>
        <w:pStyle w:val="Heading3"/>
      </w:pPr>
      <w:r>
        <w:t xml:space="preserve">2.2 Two-Stage Least Squares</w:t>
      </w:r>
    </w:p>
    <w:p>
      <w:pPr>
        <w:pStyle w:val="FirstParagraph"/>
      </w:pPr>
      <w:r>
        <w:t xml:space="preserve">The same estimate can be computed with two saturated linear models,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α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α</m:t>
            </m:r>
          </m:e>
          <m:sub>
            <m:r>
              <m:t>1</m:t>
            </m:r>
          </m:sub>
        </m:sSub>
        <m:r>
          <m:t>Z</m:t>
        </m:r>
      </m:oMath>
      <w:r>
        <w:t xml:space="preserve"> </w:t>
      </w:r>
      <w:r>
        <w:t xml:space="preserve">(denominator) 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Z</m:t>
        </m:r>
      </m:oMath>
      <w:r>
        <w:t xml:space="preserve"> </w:t>
      </w:r>
      <w:r>
        <w:t xml:space="preserve">(numerator),</w:t>
      </w:r>
      <w:r>
        <w:t xml:space="preserve"> </w:t>
      </w:r>
      <w:r>
        <w:t xml:space="preserve">or by</w:t>
      </w:r>
      <w:r>
        <w:t xml:space="preserve"> </w:t>
      </w:r>
      <w:r>
        <w:rPr>
          <w:b/>
          <w:bCs/>
        </w:rPr>
        <w:t xml:space="preserve">two-stage least squares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Fit the first-stage treatment model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α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α</m:t>
            </m:r>
          </m:e>
          <m:sub>
            <m:r>
              <m:t>1</m:t>
            </m:r>
          </m:sub>
        </m:sSub>
        <m:r>
          <m:t>Z</m:t>
        </m:r>
      </m:oMath>
      <w:r>
        <w:t xml:space="preserve"> </w:t>
      </w:r>
      <w:r>
        <w:t xml:space="preserve">and compute predicted values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Fit the second-stage outcome model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</m:oMath>
      <w:r>
        <w:t xml:space="preserve">.</w:t>
      </w:r>
    </w:p>
    <w:p>
      <w:pPr>
        <w:pStyle w:val="FirstParagraph"/>
      </w:pP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always equals the standard IV estimate: again 2.4 kg</w:t>
      </w:r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precision-and-weak-instruments"/>
    <w:p>
      <w:pPr>
        <w:pStyle w:val="Heading3"/>
      </w:pPr>
      <w:r>
        <w:t xml:space="preserve">2.3 Precision and Weak Instruments</w:t>
      </w:r>
    </w:p>
    <w:p>
      <w:pPr>
        <w:pStyle w:val="Compact"/>
        <w:numPr>
          <w:ilvl w:val="0"/>
          <w:numId w:val="1010"/>
        </w:numPr>
      </w:pPr>
      <w:r>
        <w:t xml:space="preserve">95% confidence interval:</w:t>
      </w:r>
      <w:r>
        <w:t xml:space="preserve"> </w:t>
      </w:r>
      <m:oMath>
        <m:r>
          <m:rPr>
            <m:sty m:val="p"/>
          </m:rPr>
          <m:t>−</m:t>
        </m:r>
        <m:r>
          <m:t>36.5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41.3</m:t>
        </m:r>
      </m:oMath>
      <w:r>
        <w:t xml:space="preserve"> </w:t>
      </w:r>
      <w:r>
        <w:t xml:space="preserve">kg.</w:t>
      </w:r>
    </w:p>
    <w:p>
      <w:pPr>
        <w:pStyle w:val="Compact"/>
        <w:numPr>
          <w:ilvl w:val="0"/>
          <w:numId w:val="1010"/>
        </w:numPr>
      </w:pPr>
      <w:r>
        <w:t xml:space="preserve">Rule of thumb: an instrument is</w:t>
      </w:r>
      <w:r>
        <w:t xml:space="preserve"> </w:t>
      </w:r>
      <w:r>
        <w:rPr>
          <w:b/>
          <w:bCs/>
        </w:rPr>
        <w:t xml:space="preserve">weak</w:t>
      </w:r>
      <w:r>
        <w:t xml:space="preserve"> </w:t>
      </w:r>
      <w:r>
        <w:t xml:space="preserve">if the first-stage F-statistic is below 10;</w:t>
      </w:r>
      <w:r>
        <w:t xml:space="preserve"> </w:t>
      </w:r>
      <w:r>
        <w:t xml:space="preserve">here it was 0.8</w:t>
      </w:r>
      <w:r>
        <w:t xml:space="preserve"> </w:t>
      </w:r>
      <w:r>
        <w:t xml:space="preserve">(Hernán and Robins 2020, 213–14)</w:t>
      </w:r>
      <w:r>
        <w:t xml:space="preserve">.</w:t>
      </w:r>
    </w:p>
    <w:p>
      <w:pPr>
        <w:pStyle w:val="FirstParagraph"/>
      </w:pPr>
      <w:r>
        <w:t xml:space="preserve">The assumptions implicit in two-stage least squares can be made explicit with additive or multiplicative</w:t>
      </w:r>
      <w:r>
        <w:t xml:space="preserve"> </w:t>
      </w:r>
      <w:r>
        <w:rPr>
          <w:b/>
          <w:bCs/>
        </w:rPr>
        <w:t xml:space="preserve">structural mean models</w:t>
      </w:r>
      <w:r>
        <w:t xml:space="preserve"> </w:t>
      </w:r>
      <w:r>
        <w:t xml:space="preserve">(Technical Points 16.3 and 16.4), whose parameters can be estimated by g-estimation.</w:t>
      </w:r>
      <w:r>
        <w:t xml:space="preserve"> </w:t>
      </w:r>
      <w:r>
        <w:t xml:space="preserve">When measured common causes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of the instrument and the outcome must be adjusted for,</w:t>
      </w:r>
      <w:r>
        <w:t xml:space="preserve"> </w:t>
      </w:r>
      <w:r>
        <w:t xml:space="preserve">choosing between two-stage least squares and structural mean models involves trade-offs similar to those between outcome regression and structural nested models (Chapters 14 and 15)</w:t>
      </w:r>
      <w:r>
        <w:t xml:space="preserve"> </w:t>
      </w:r>
      <w:r>
        <w:t xml:space="preserve">(Hernán and Robins 2020, 214)</w:t>
      </w:r>
      <w:r>
        <w:t xml:space="preserve">.</w:t>
      </w:r>
    </w:p>
    <w:p>
      <w:pPr>
        <w:pStyle w:val="BodyText"/>
      </w:pPr>
      <w:r>
        <w:t xml:space="preserve">All of these estimators estimate the average causal effect only if a fourth identifying condition holds.</w:t>
      </w:r>
    </w:p>
    <w:bookmarkEnd w:id="25"/>
    <w:bookmarkEnd w:id="26"/>
    <w:bookmarkStart w:id="36" w:name="Xc13069a048986a447707a73b89c2fdb9f108218"/>
    <w:p>
      <w:pPr>
        <w:pStyle w:val="Heading2"/>
      </w:pPr>
      <w:r>
        <w:t xml:space="preserve">3 16.3 A Fourth Identifying Condition: Homogeneity (pp. 214-217)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Conditions (i)-(iii) do not make the IV estimand equal the average causal effect.</w:t>
      </w:r>
      <w:r>
        <w:t xml:space="preserve"> </w:t>
      </w:r>
      <w:r>
        <w:t xml:space="preserve">A fourth condition,</w:t>
      </w:r>
      <w:r>
        <w:t xml:space="preserve"> </w:t>
      </w:r>
      <w:r>
        <w:rPr>
          <w:b/>
          <w:bCs/>
        </w:rPr>
        <w:t xml:space="preserve">effect homogeneity (iv)</w:t>
      </w:r>
      <w:r>
        <w:t xml:space="preserve">, is needed.</w:t>
      </w:r>
      <w:r>
        <w:t xml:space="preserve"> </w:t>
      </w:r>
      <w:r>
        <w:t xml:space="preserve">The book describes four versions, in order of historical appearance</w:t>
      </w:r>
      <w:r>
        <w:t xml:space="preserve"> </w:t>
      </w:r>
      <w:r>
        <w:t xml:space="preserve">(Hernán and Robins 2020, 214–16)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Constant effect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for every individual (e.g., everyone gains exactly 2.4 kg).</w:t>
      </w:r>
      <w:r>
        <w:t xml:space="preserve"> </w:t>
      </w:r>
      <w:r>
        <w:t xml:space="preserve">This is additive rank preservation (Section 14.4): implausible for most treatments and impossible for dichotomous outcomes except under the sharp null or universal harm (or benefit).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Equal average effect across levels of</w:t>
      </w:r>
      <w:r>
        <w:rPr>
          <w:b/>
          <w:bCs/>
        </w:rPr>
        <w:t xml:space="preserve"> </w:t>
      </w:r>
      <m:oMath>
        <m:r>
          <m:t>Z</m:t>
        </m:r>
      </m:oMath>
      <w:r>
        <w:t xml:space="preserve"> </w:t>
      </w:r>
      <w:r>
        <w:t xml:space="preserve">among the treated and among the untreated: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No additive effect modification by</w:t>
      </w:r>
      <w:r>
        <w:rPr>
          <w:b/>
          <w:bCs/>
        </w:rPr>
        <w:t xml:space="preserve"> </w:t>
      </w:r>
      <m:oMath>
        <m:r>
          <m:t>U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∣</m:t>
            </m:r>
            <m:r>
              <m:t>U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U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Constant</w:t>
      </w:r>
      <w:r>
        <w:rPr>
          <w:b/>
          <w:bCs/>
        </w:rPr>
        <w:t xml:space="preserve"> </w:t>
      </w:r>
      <m:oMath>
        <m:r>
          <m:t>Z</m:t>
        </m:r>
      </m:oMath>
      <w:r>
        <w:rPr>
          <w:b/>
          <w:bCs/>
        </w:rPr>
        <w:t xml:space="preserve">-</w:t>
      </w:r>
      <m:oMath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association across</w:t>
      </w:r>
      <w:r>
        <w:rPr>
          <w:b/>
          <w:bCs/>
        </w:rPr>
        <w:t xml:space="preserve"> </w:t>
      </w:r>
      <m:oMath>
        <m:r>
          <m:t>U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U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U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</m:oMath>
      <w:r>
        <w:t xml:space="preserve">.</w:t>
      </w:r>
    </w:p>
    <w:p>
      <w:pPr>
        <w:pStyle w:val="FirstParagraph"/>
      </w:pPr>
      <w:r>
        <w:t xml:space="preserve">Version 1 was implicitly assumed in many early IV analyses that used two-stage least squares.</w:t>
      </w:r>
    </w:p>
    <w:p>
      <w:pPr>
        <w:pStyle w:val="BodyText"/>
      </w:pPr>
      <w:r>
        <w:t xml:space="preserve">Version 2 is the one used in Technical Point 16.3.</w:t>
      </w:r>
      <w:r>
        <w:t xml:space="preserve"> </w:t>
      </w:r>
      <w:r>
        <w:t xml:space="preserve">It is not automatically implied by condition (iii): even when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Z</m:t>
        </m:r>
      </m:oMath>
      <w:r>
        <w:t xml:space="preserve"> </w:t>
      </w:r>
      <w:r>
        <w:t xml:space="preserve">holds,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Z</m:t>
        </m:r>
        <m:r>
          <m:rPr>
            <m:sty m:val="p"/>
          </m:rPr>
          <m:t>∣</m:t>
        </m:r>
        <m:r>
          <m:t>A</m:t>
        </m:r>
      </m:oMath>
      <w:r>
        <w:t xml:space="preserve"> </w:t>
      </w:r>
      <w:r>
        <w:t xml:space="preserve">generally does not,</w:t>
      </w:r>
      <w:r>
        <w:t xml:space="preserve"> </w:t>
      </w:r>
      <w:r>
        <w:t xml:space="preserve">so the treatment effect may vary with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among the treated or the untreated</w:t>
      </w:r>
      <w:r>
        <w:t xml:space="preserve"> </w:t>
      </w:r>
      <w:r>
        <w:t xml:space="preserve">(Hernán and Robins 2020, 214)</w:t>
      </w:r>
      <w:r>
        <w:t xml:space="preserve">.</w:t>
      </w:r>
      <w:r>
        <w:t xml:space="preserve"> </w:t>
      </w:r>
      <w:r>
        <w:t xml:space="preserve">It is also hard for subject-matter experts to argue for, which motivates versions stated in terms of the confounders</w:t>
      </w:r>
      <w:r>
        <w:t xml:space="preserve"> </w:t>
      </w:r>
      <m:oMath>
        <m:r>
          <m:t>U</m:t>
        </m:r>
      </m:oMath>
      <w:r>
        <w:t xml:space="preserve">.</w:t>
      </w:r>
    </w:p>
    <w:p>
      <w:pPr>
        <w:pStyle w:val="BodyText"/>
      </w:pPr>
      <w:r>
        <w:t xml:space="preserve">Version 3 is often implausible because some unmeasured confounders are likely effect modifiers too,</w:t>
      </w:r>
      <w:r>
        <w:t xml:space="preserve"> </w:t>
      </w:r>
      <w:r>
        <w:t xml:space="preserve">e.g., weight gain after quitting may depend on prior smoking intensity, itself a likely unmeasured confounder.</w:t>
      </w:r>
      <w:r>
        <w:t xml:space="preserve"> </w:t>
      </w:r>
      <w:r>
        <w:t xml:space="preserve">Hernán and Robins showed that if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an additive effect modifier, version 2 would not be a reasonable belief either</w:t>
      </w:r>
      <w:r>
        <w:t xml:space="preserve"> </w:t>
      </w:r>
      <w:r>
        <w:t xml:space="preserve">(Hernán and Robins 2020, 215)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32" w:name="the-general-homogeneity-condition"/>
    <w:p>
      <w:pPr>
        <w:pStyle w:val="Heading3"/>
      </w:pPr>
      <w:r>
        <w:t xml:space="preserve">3.1 The General Homogeneity Condition</w:t>
      </w:r>
    </w:p>
    <w:p>
      <w:pPr>
        <w:pStyle w:val="FirstParagraph"/>
      </w:pPr>
      <w:r>
        <w:t xml:space="preserve">Define the effect modification by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of the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A</m:t>
        </m:r>
      </m:oMath>
      <w:r>
        <w:t xml:space="preserve"> </w:t>
      </w:r>
      <w:r>
        <w:t xml:space="preserve">association: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U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  </m:t>
          </m:r>
          <m:r>
            <m:t>t</m:t>
          </m:r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A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U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A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U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" w:name="thm-general-homogeneity"/>
          <w:p>
            <w:pPr>
              <w:pStyle w:val="BodyText"/>
            </w:pPr>
            <w:r>
              <w:rPr>
                <w:b/>
                <w:bCs/>
              </w:rPr>
              <w:t xml:space="preserve">Theorem 1 (General Homogeneity Condition)</w:t>
            </w:r>
            <w:r>
              <w:t xml:space="preserve"> </w:t>
            </w:r>
            <w:r>
              <w:t xml:space="preserve">Under the causal diagram of Figure 16.1, if</w:t>
            </w:r>
            <w:r>
              <w:t xml:space="preserve"> </w:t>
            </w:r>
            <m:oMath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e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num>
                  <m:den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bookmarkEnd w:id="27"/>
        </w:tc>
      </w:tr>
    </w:tbl>
    <w:p>
      <w:pPr>
        <w:pStyle w:val="FirstParagraph"/>
      </w:pPr>
      <w:r>
        <w:t xml:space="preserve">Versions 3 and 4 are special cases: they say</w:t>
      </w:r>
      <w:r>
        <w:t xml:space="preserve"> </w:t>
      </w:r>
      <w:r>
        <w:t xml:space="preserve">“</w:t>
      </w:r>
      <m:oMath>
        <m:r>
          <m:t>e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is constant”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m:oMath>
        <m:r>
          <m:t>t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is constant”</w:t>
      </w:r>
      <w:r>
        <w:t xml:space="preserve">, and the covariance of any variable with a constant is 0</w:t>
      </w:r>
      <w:r>
        <w:t xml:space="preserve"> </w:t>
      </w:r>
      <w:r>
        <w:t xml:space="preserve">(Hernán and Robins 2020, 216)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 (Proof (Technical Point 16.5))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(Technical Point 16.5)). </w:t>
            </w:r>
            <w:r>
              <w:t xml:space="preserve">In Figure 16.1,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U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1: the denominator is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, 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t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Step 2: the numerator is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e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By consistency,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e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Z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Averaging over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u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e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so the second term cancels in the difference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u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e</m:t>
                    </m:r>
                  </m:e>
                </m:nary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t</m:t>
                </m:r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e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t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Step 3: use the zero covariance.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covariance)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expectations; Step 1)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Dividing the numerator (Step 2) by the denominator (Step 1) gives the result.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16.3: Additive Structural Mean Models and IV Estimation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Saturated additive structural mean model for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instrument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Z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equivalently</m:t>
                </m:r>
                <m:r>
                  <m:t> 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Z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the effect in the treated with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the effect in the treated with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measures additive effect modification by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we assume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equals the usual IV estimand</w:t>
            </w:r>
            <w:r>
              <w:t xml:space="preserve"> </w:t>
            </w:r>
            <w:r>
              <w:t xml:space="preserve">(Hernán and Robins 2020, 215)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instrumental conditions imply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From the model,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sty m:val="p"/>
                </m:rPr>
                <m:t>(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Z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averaging over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Z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Setting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equating the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values: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den>
                    </m:f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rPr>
          <w:b/>
          <w:bCs/>
        </w:rPr>
        <w:t xml:space="preserve">Why set</w:t>
      </w:r>
      <w:r>
        <w:rPr>
          <w:b/>
          <w:bCs/>
        </w:rP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rPr>
          <w:b/>
          <w:bCs/>
        </w:rPr>
        <w:t xml:space="preserve">?</w:t>
      </w:r>
      <w:r>
        <w:t xml:space="preserve"> </w:t>
      </w:r>
      <w:r>
        <w:t xml:space="preserve">The instrumental conditions give one equation in two unknowns (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), and that equation exhausts the constraints they place on the data.</w:t>
      </w:r>
      <w:r>
        <w:t xml:space="preserve"> </w:t>
      </w:r>
      <w:r>
        <w:t xml:space="preserve">A second constraint is needed and is necessarily untestable;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an arbitrary choice (one could as well pick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).</w:t>
      </w:r>
      <w:r>
        <w:t xml:space="preserve"> </w:t>
      </w:r>
      <w:r>
        <w:t xml:space="preserve">That is what</w:t>
      </w:r>
      <w:r>
        <w:t xml:space="preserve"> </w:t>
      </w:r>
      <w:r>
        <w:t xml:space="preserve">“an instrument is insufficient to identify the average causal effect”</w:t>
      </w:r>
      <w:r>
        <w:t xml:space="preserve"> </w:t>
      </w:r>
      <w:r>
        <w:t xml:space="preserve">means.</w:t>
      </w:r>
    </w:p>
    <w:p>
      <w:pPr>
        <w:pStyle w:val="BodyText"/>
      </w:pPr>
      <w:r>
        <w:t xml:space="preserve">Even with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the effect</w:t>
      </w:r>
      <w:r>
        <w:t xml:space="preserve"> </w:t>
      </w:r>
      <w:r>
        <w:rPr>
          <w:b/>
          <w:bCs/>
        </w:rPr>
        <w:t xml:space="preserve">in the treated</w:t>
      </w:r>
      <w:r>
        <w:t xml:space="preserve">.</w:t>
      </w:r>
      <w:r>
        <w:t xml:space="preserve"> </w:t>
      </w:r>
      <w:r>
        <w:t xml:space="preserve">Interpreting it as the population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needs the further untestable assumption that the effect is the same in the treated and the untreated,</w:t>
      </w:r>
      <w:r>
        <w:t xml:space="preserve"> </w:t>
      </w:r>
      <w:r>
        <w:t xml:space="preserve">i.e., that the corresponding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parameter is also 0 in the model 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(Hernán and Robins 2020, 215)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16.4: Multiplicative Structural Mean Models and IV Estimation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Saturated multiplicative (log-linear) structural mean model: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</m:num>
                  <m:den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equivalently</m:t>
                </m:r>
                <m:r>
                  <m:t> 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A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Assuming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no multiplicative effect modification by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in the untreated either,</w:t>
            </w:r>
            <w:r>
              <w:t xml:space="preserve"> </w:t>
            </w:r>
            <w:r>
              <w:t xml:space="preserve">the causal risk ratio is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)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t> 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A</m:t>
                    </m:r>
                  </m:e>
                </m:d>
                <m:r>
                  <m:t>​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This is identified but is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the usual IV estimand</w:t>
            </w:r>
            <w:r>
              <w:t xml:space="preserve"> </w:t>
            </w:r>
            <w:r>
              <w:t xml:space="preserve">(Hernán and Robins 2020, 216)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So the estimate of the average causal effect depends on whether one assumes no additive or no multiplicative effect modification by</w:t>
      </w:r>
      <w:r>
        <w:t xml:space="preserve"> </w:t>
      </w:r>
      <m:oMath>
        <m:r>
          <m:t>Z</m:t>
        </m:r>
      </m:oMath>
      <w:r>
        <w:t xml:space="preserve">,</w:t>
      </w:r>
      <w:r>
        <w:t xml:space="preserve"> </w:t>
      </w:r>
      <w:r>
        <w:t xml:space="preserve">and no amount of data can tell which (if either) is true, because the saturated models have more unknown parameters than equations</w:t>
      </w:r>
      <w:r>
        <w:t xml:space="preserve"> </w:t>
      </w:r>
      <w:r>
        <w:t xml:space="preserve">(Hernán and Robins 2020, 216)</w:t>
      </w:r>
      <w:r>
        <w:t xml:space="preserve">.</w:t>
      </w:r>
      <w:r>
        <w:t xml:space="preserve"> </w:t>
      </w:r>
      <w:r>
        <w:t xml:space="preserve">The book refers to Robins (1989) and Hernán and Robins (2006b) for the proof of the formula.</w:t>
      </w:r>
    </w:p>
    <w:p>
      <w:r>
        <w:pict>
          <v:rect style="width:0;height:1.5pt" o:hralign="center" o:hrstd="t" o:hr="t"/>
        </w:pict>
      </w:r>
    </w:p>
    <w:bookmarkEnd w:id="32"/>
    <w:bookmarkStart w:id="35" w:name="bypassing-homogeneity"/>
    <w:p>
      <w:pPr>
        <w:pStyle w:val="Heading3"/>
      </w:pPr>
      <w:r>
        <w:t xml:space="preserve">3.2 Bypassing Homogeneity</w:t>
      </w:r>
    </w:p>
    <w:p>
      <w:pPr>
        <w:pStyle w:val="FirstParagraph"/>
      </w:pPr>
      <w:r>
        <w:t xml:space="preserve">Because the homogeneity conditions are often implausible, the book describes two ways around them</w:t>
      </w:r>
      <w:r>
        <w:t xml:space="preserve"> </w:t>
      </w:r>
      <w:r>
        <w:t xml:space="preserve">(Hernán and Robins 2020, 216)</w:t>
      </w:r>
      <w:r>
        <w:t xml:space="preserve">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Add baseline covariates</w:t>
      </w:r>
      <w:r>
        <w:t xml:space="preserve"> </w:t>
      </w:r>
      <w:r>
        <w:t xml:space="preserve">to the IV models, preferably with structural mean models (fewer parametric assumptions than two-stage least squares).</w:t>
      </w:r>
      <w:r>
        <w:t xml:space="preserve"> </w:t>
      </w:r>
      <w:r>
        <w:t xml:space="preserve">The effect in the treated may then vary with</w:t>
      </w:r>
      <w:r>
        <w:t xml:space="preserve"> </w:t>
      </w:r>
      <m:oMath>
        <m:r>
          <m:t>Z</m:t>
        </m:r>
      </m:oMath>
      <w:r>
        <w:t xml:space="preserve">, subject to constraints on how it varies within levels of the covariates.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Replace homogeneity by a different condition (iv)</w:t>
      </w:r>
      <w:r>
        <w:t xml:space="preserve">, monotonicity (Section 16.4),</w:t>
      </w:r>
      <w:r>
        <w:t xml:space="preserve"> </w:t>
      </w:r>
      <w:r>
        <w:t xml:space="preserve">which gives the usual IV estimand a causal interpretation without identifying the population effect.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16.6: More General Structural Mean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 possibly continuous or multivariate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 pre-instrument covariates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an additive structural mean model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V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γ</m:t>
                </m:r>
                <m:r>
                  <m:rPr>
                    <m:sty m:val="p"/>
                  </m:rPr>
                  <m:t>(</m:t>
                </m:r>
                <m:r>
                  <m:t>Z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V</m:t>
                </m:r>
                <m:r>
                  <m:rPr>
                    <m:sty m:val="p"/>
                  </m:rPr>
                  <m:t>;</m:t>
                </m:r>
                <m:r>
                  <m:t>β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with</w:t>
            </w:r>
            <w:r>
              <w:t xml:space="preserve"> </w:t>
            </w:r>
            <m:oMath>
              <m:r>
                <m:t>γ</m:t>
              </m:r>
            </m:oMath>
            <w:r>
              <w:t xml:space="preserve"> </w:t>
            </w:r>
            <w:r>
              <w:t xml:space="preserve">a known function,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an unknown parameter, and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V</m:t>
              </m:r>
              <m:r>
                <m:rPr>
                  <m:sty m:val="p"/>
                </m:rPr>
                <m:t>;</m:t>
              </m:r>
              <m:r>
                <m:t>β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models the effect of the observed treatment level versus level 0 among those with that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and observed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Its parameters are identified by g-estimation under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multiplicative analog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  <m:r>
                    <m:rPr>
                      <m:sty m:val="p"/>
                    </m:rPr>
                    <m:t>;</m:t>
                  </m:r>
                  <m:r>
                    <m:t>β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(Hernán and Robins 2020, 218)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Models also allow several proposed instruments at once, continuous treatments, and causal risk ratios for dichotomous outcomes</w:t>
      </w:r>
      <w:r>
        <w:t xml:space="preserve"> </w:t>
      </w:r>
      <w:r>
        <w:t xml:space="preserve">(Hernán and Robins 2020, 216)</w:t>
      </w:r>
      <w:r>
        <w:t xml:space="preserve">.</w:t>
      </w:r>
      <w:r>
        <w:t xml:space="preserve"> </w:t>
      </w:r>
      <w:r>
        <w:t xml:space="preserve">Nested versions of these structural mean models extend IV methods to time-varying treatments and confounders</w:t>
      </w:r>
      <w:r>
        <w:t xml:space="preserve"> </w:t>
      </w:r>
      <w:r>
        <w:t xml:space="preserve">(Hernán and Robins 2020, 218)</w:t>
      </w:r>
      <w:r>
        <w:t xml:space="preserve">.</w:t>
      </w:r>
    </w:p>
    <w:bookmarkEnd w:id="35"/>
    <w:bookmarkEnd w:id="36"/>
    <w:bookmarkStart w:id="42" w:name="X897df2f7d2435be36d261ce5fa8523492f094dd"/>
    <w:p>
      <w:pPr>
        <w:pStyle w:val="Heading2"/>
      </w:pPr>
      <w:r>
        <w:t xml:space="preserve">4 16.4 An Alternative Fourth Condition: Monotonicity (pp. 217-220)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the double-blind trial, let</w:t>
      </w:r>
      <w:r>
        <w:t xml:space="preserve"> </w:t>
      </w:r>
      <m:oMath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be the treatment an individual would take if assigned to treatment or to no treatment.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7" w:name="def-compliance-types"/>
          <w:p>
            <w:pPr>
              <w:pStyle w:val="BodyText"/>
            </w:pPr>
            <w:r>
              <w:rPr>
                <w:b/>
                <w:bCs/>
              </w:rPr>
              <w:t xml:space="preserve">Definition 2 (Compliance Types (Principal Strata))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Always-takers</w:t>
            </w:r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Never-takers</w:t>
            </w:r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Compliers</w:t>
            </w:r>
            <w:r>
              <w:t xml:space="preserve"> </w:t>
            </w:r>
            <w:r>
              <w:t xml:space="preserve">(cooperative):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Defiers</w:t>
            </w:r>
            <w:r>
              <w:t xml:space="preserve"> </w:t>
            </w:r>
            <w:r>
              <w:t xml:space="preserve">(contrarians):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bookmarkEnd w:id="37"/>
        </w:tc>
      </w:tr>
    </w:tbl>
    <w:p>
      <w:pPr>
        <w:pStyle w:val="FirstParagraph"/>
      </w:pPr>
      <w:r>
        <w:t xml:space="preserve">These strata are not identified: someone with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may be a complier or an always-taker;</w:t>
      </w:r>
      <w:r>
        <w:t xml:space="preserve"> </w:t>
      </w:r>
      <w:r>
        <w:t xml:space="preserve">someone with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may be a defier or a never-taker.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8" w:name="def-monotonicity"/>
          <w:p>
            <w:pPr>
              <w:pStyle w:val="BodyText"/>
            </w:pPr>
            <w:r>
              <w:rPr>
                <w:b/>
                <w:bCs/>
              </w:rPr>
              <w:t xml:space="preserve">Definition 3 (Monotonicity)</w:t>
            </w:r>
            <w:r>
              <w:t xml:space="preserve"> </w:t>
            </w:r>
            <w:r>
              <w:rPr>
                <w:b/>
                <w:bCs/>
              </w:rPr>
              <w:t xml:space="preserve">Monotonicity</w:t>
            </w:r>
            <w:r>
              <w:t xml:space="preserve"> </w:t>
            </w:r>
            <w:r>
              <w:t xml:space="preserve">holds when there are no defiers, i.e.,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≥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for all individuals.</w:t>
            </w:r>
          </w:p>
          <w:bookmarkEnd w:id="3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thm-late"/>
          <w:p>
            <w:pPr>
              <w:pStyle w:val="BodyText"/>
            </w:pPr>
            <w:r>
              <w:rPr>
                <w:b/>
                <w:bCs/>
              </w:rPr>
              <w:t xml:space="preserve">Theorem 2 (IV Estimand under Monotonicity)</w:t>
            </w:r>
            <w:r>
              <w:t xml:space="preserve"> </w:t>
            </w:r>
            <w:r>
              <w:t xml:space="preserve">Under instrumental conditions (i)-(iii) with a dichotomous causal instrument that is randomly assigned, and monotonicity as condition (iv),</w:t>
            </w:r>
            <w:r>
              <w:t xml:space="preserve"> </w:t>
            </w:r>
            <w:r>
              <w:t xml:space="preserve">the usual IV estimand equals the average causal effect in the compliers,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not the average causal effect in the population</w:t>
            </w:r>
            <w:r>
              <w:t xml:space="preserve"> </w:t>
            </w:r>
            <w:r>
              <w:t xml:space="preserve">(Hernán and Robins 2020, 218)</w:t>
            </w:r>
            <w:r>
              <w:t xml:space="preserve">.</w:t>
            </w:r>
          </w:p>
          <w:bookmarkEnd w:id="39"/>
        </w:tc>
      </w:tr>
    </w:tbl>
    <w:p>
      <w:pPr>
        <w:pStyle w:val="BodyText"/>
      </w:pPr>
      <w:r>
        <w:t xml:space="preserve">Sketch: the intention-to-treat effect is a weighted average over the four strata;</w:t>
      </w:r>
      <w:r>
        <w:t xml:space="preserve"> </w:t>
      </w:r>
      <w:r>
        <w:t xml:space="preserve">it is zero in always-takers and never-takers (their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change with</w:t>
      </w:r>
      <w:r>
        <w:t xml:space="preserve"> </w:t>
      </w:r>
      <m:oMath>
        <m:r>
          <m:t>Z</m:t>
        </m:r>
      </m:oMath>
      <w:r>
        <w:t xml:space="preserve">, and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acts only through</w:t>
      </w:r>
      <w:r>
        <w:t xml:space="preserve"> </w:t>
      </w:r>
      <m:oMath>
        <m:r>
          <m:t>A</m:t>
        </m:r>
      </m:oMath>
      <w:r>
        <w:t xml:space="preserve">),</w:t>
      </w:r>
      <w:r>
        <w:t xml:space="preserve"> </w:t>
      </w:r>
      <w:r>
        <w:t xml:space="preserve">and there are no defiers.</w:t>
      </w:r>
      <w:r>
        <w:t xml:space="preserve"> </w:t>
      </w:r>
      <w:r>
        <w:t xml:space="preserve">So the numerator is the effect in compliers times the proportion of compliers, which is the denominator.</w:t>
      </w:r>
    </w:p>
    <w:p>
      <w:pPr>
        <w:pStyle w:val="BodyText"/>
      </w:pPr>
      <w:r>
        <w:t xml:space="preserve">The book’s main text refers to</w:t>
      </w:r>
      <w:r>
        <w:t xml:space="preserve"> </w:t>
      </w:r>
      <w:r>
        <w:t xml:space="preserve">“Technical Point 16.6”</w:t>
      </w:r>
      <w:r>
        <w:t xml:space="preserve"> </w:t>
      </w:r>
      <w:r>
        <w:t xml:space="preserve">for this proof;</w:t>
      </w:r>
      <w:r>
        <w:t xml:space="preserve"> </w:t>
      </w:r>
      <w:r>
        <w:t xml:space="preserve">the proof is in Technical Point 16.7</w:t>
      </w:r>
      <w:r>
        <w:t xml:space="preserve"> </w:t>
      </w:r>
      <w:r>
        <w:t xml:space="preserve">(Hernán and Robins 2020, 218, 224)</w:t>
      </w:r>
      <w:r>
        <w:t xml:space="preserve">.</w:t>
      </w:r>
    </w:p>
    <w:p>
      <w:pPr>
        <w:pStyle w:val="BodyText"/>
      </w:pPr>
      <w:r>
        <w:t xml:space="preserve">This estimand is often called the</w:t>
      </w:r>
      <w:r>
        <w:t xml:space="preserve"> </w:t>
      </w:r>
      <w:r>
        <w:rPr>
          <w:b/>
          <w:bCs/>
        </w:rPr>
        <w:t xml:space="preserve">complier average causal effect (CACE)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local average treatment effect (LATE)</w:t>
      </w:r>
      <w:r>
        <w:t xml:space="preserve">: an effect in a subpopulation, not the population average.</w:t>
      </w:r>
      <w:r>
        <w:t xml:space="preserve"> </w:t>
      </w:r>
      <w:r>
        <w:t xml:space="preserve">Greenland calls compliers</w:t>
      </w:r>
      <w:r>
        <w:t xml:space="preserve"> </w:t>
      </w:r>
      <w:r>
        <w:t xml:space="preserve">“cooperative”</w:t>
      </w:r>
      <w:r>
        <w:t xml:space="preserve"> </w:t>
      </w:r>
      <w:r>
        <w:t xml:space="preserve">and defiers</w:t>
      </w:r>
      <w:r>
        <w:t xml:space="preserve"> </w:t>
      </w:r>
      <w:r>
        <w:t xml:space="preserve">“non-cooperative”</w:t>
      </w:r>
      <w:r>
        <w:t xml:space="preserve"> </w:t>
      </w:r>
      <w:r>
        <w:t xml:space="preserve">to avoid confusion with observed compliance in trials</w:t>
      </w:r>
      <w:r>
        <w:t xml:space="preserve"> </w:t>
      </w:r>
      <w:r>
        <w:t xml:space="preserve">(Hernán and Robins 2020, 219)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 (Proof (Technical Point 16.7))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(Technical Point 16.7)). </w:t>
            </w:r>
            <w:r>
              <w:t xml:space="preserve">Write the intention-to-treat effect as a weighted average over the strata (AT: always-takers, NT: never-takers, C: compliers, D: defiers):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s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ty m:val="p"/>
                      </m:rPr>
                      <m:t>{</m:t>
                    </m:r>
                    <m:r>
                      <m:t>A</m:t>
                    </m:r>
                    <m:r>
                      <m:t>T</m:t>
                    </m:r>
                    <m:r>
                      <m:rPr>
                        <m:sty m:val="p"/>
                      </m:rPr>
                      <m:t>,</m:t>
                    </m:r>
                    <m:r>
                      <m:t>N</m:t>
                    </m:r>
                    <m:r>
                      <m:t>T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,</m:t>
                    </m:r>
                    <m:r>
                      <m:t>D</m:t>
                    </m:r>
                    <m:r>
                      <m:rPr>
                        <m:sty m:val="p"/>
                      </m:rPr>
                      <m:t>}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s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In AT and NT,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does not change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by the individual-level exclusion restriction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has no other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N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Under monotonicity,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Hence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</m:e>
              </m:d>
              <m:r>
                <m:t>​</m:t>
              </m:r>
              <m:r>
                <m:t> 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compliers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, so the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equals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</m:e>
              </m:d>
              <m:r>
                <m:t>​</m:t>
              </m:r>
            </m:oMath>
            <w:r>
              <w:t xml:space="preserve">,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C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Random assignment implies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;</m:t>
              </m:r>
              <m:r>
                <m:t> 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;</m:t>
              </m:r>
              <m:r>
                <m:t> 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 so with consistency the numerator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the denominator,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t>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N</m:t>
              </m:r>
              <m:r>
                <m:t>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with no defiers,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t>T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N</m:t>
                    </m:r>
                    <m:r>
                      <m:t>T</m:t>
                    </m:r>
                    <m:r>
                      <m:rPr>
                        <m:sty m:val="p"/>
                      </m:rPr>
                      <m:t>]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The result is due to Imbens and Angrist (1994);</w:t>
      </w:r>
      <w:r>
        <w:t xml:space="preserve"> </w:t>
      </w:r>
      <w:r>
        <w:t xml:space="preserve">Baker and Lindeman (1994) had a related proof for a binary outcome</w:t>
      </w:r>
      <w:r>
        <w:t xml:space="preserve"> </w:t>
      </w:r>
      <w:r>
        <w:t xml:space="preserve">(Hernán and Robins 2020, 224)</w:t>
      </w:r>
      <w:r>
        <w:t xml:space="preserve">.</w:t>
      </w:r>
      <w:r>
        <w:t xml:space="preserve"> </w:t>
      </w:r>
      <w:r>
        <w:t xml:space="preserve">For a surrogate instrument</w:t>
      </w:r>
      <w:r>
        <w:t xml:space="preserve"> </w:t>
      </w:r>
      <m:oMath>
        <m:r>
          <m:t>Z</m:t>
        </m:r>
      </m:oMath>
      <w:r>
        <w:t xml:space="preserve">, Hernán and Robins (2006b) showed that the usual IV estimator still identifies the effect in the compliers (defined by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),</w:t>
      </w:r>
      <w:r>
        <w:t xml:space="preserve"> </w:t>
      </w:r>
      <w:r>
        <w:t xml:space="preserve">but only if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is binary, and that independence is rarely plausible unless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is continuous</w:t>
      </w:r>
      <w:r>
        <w:t xml:space="preserve"> </w:t>
      </w:r>
      <w:r>
        <w:t xml:space="preserve">(Hernán and Robins 2020, 224)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40" w:name="compliers-in-an-observational-study"/>
    <w:p>
      <w:pPr>
        <w:pStyle w:val="Heading3"/>
      </w:pPr>
      <w:r>
        <w:t xml:space="preserve">4.1 Compliers in an Observational Study</w:t>
      </w:r>
    </w:p>
    <w:p>
      <w:pPr>
        <w:pStyle w:val="FirstParagraph"/>
      </w:pPr>
      <w:r>
        <w:t xml:space="preserve">There is no assignment, but</w:t>
      </w:r>
      <w:r>
        <w:t xml:space="preserve"> </w:t>
      </w:r>
      <w:r>
        <w:t xml:space="preserve">“compliers”</w:t>
      </w:r>
      <w:r>
        <w:t xml:space="preserve"> </w:t>
      </w:r>
      <w:r>
        <w:t xml:space="preserve">still means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in NHEFS, people who would quit smoking in a high-price state and not in a low-price state.</w:t>
      </w:r>
      <w:r>
        <w:t xml:space="preserve"> </w:t>
      </w:r>
      <w:r>
        <w:t xml:space="preserve">If there are no defiers and the causal instrument is dichotomous, 2.4 kg estimates the effect in the compliers</w:t>
      </w:r>
      <w:r>
        <w:t xml:space="preserve"> </w:t>
      </w:r>
      <w:r>
        <w:t xml:space="preserve">(Hernán and Robins 2020, 218–19)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0"/>
    <w:bookmarkStart w:id="41" w:name="criticisms-of-the-complier-effect"/>
    <w:p>
      <w:pPr>
        <w:pStyle w:val="Heading3"/>
      </w:pPr>
      <w:r>
        <w:t xml:space="preserve">4.2 Criticisms of the Complier Effect</w:t>
      </w:r>
    </w:p>
    <w:p>
      <w:pPr>
        <w:pStyle w:val="FirstParagraph"/>
      </w:pPr>
      <w:r>
        <w:t xml:space="preserve">Monotonicity was welcomed in the mid-1990s as the salvation of IV methods, but the book raises four problems</w:t>
      </w:r>
      <w:r>
        <w:t xml:space="preserve"> </w:t>
      </w:r>
      <w:r>
        <w:t xml:space="preserve">(Hernán and Robins 2020, 219–20)</w:t>
      </w:r>
      <w:r>
        <w:t xml:space="preserve">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Relevance</w:t>
      </w:r>
      <w:r>
        <w:t xml:space="preserve">: compliers cannot be identified, and their proportion (the denominator, about 6% in NHEFS) varies across instruments and studies, so the effect is hard to use for decisions.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Monotonicity may fail in observational studies</w:t>
      </w:r>
      <w:r>
        <w:t xml:space="preserve">, especially when treatment decisions weigh several criteria.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Surrogate instruments</w:t>
      </w:r>
      <w:r>
        <w:t xml:space="preserve">: if the causal instrument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is continuous, a dichotomous surrogate’s IV estimand is a weighted average of effects over everyone, not the effect in a subpopulation of compliers.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Principal strata may be ill-defined</w:t>
      </w:r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A mitigating factor: under strong assumptions, the distribution of observed variables among compliers can be characterized.</w:t>
      </w:r>
      <w:r>
        <w:t xml:space="preserve"> </w:t>
      </w:r>
      <w:r>
        <w:t xml:space="preserve">Deaton (2010) likened focusing on the complier effect to choosing where the light falls and then claiming that whatever it illuminates is what we were looking for</w:t>
      </w:r>
      <w:r>
        <w:t xml:space="preserve"> </w:t>
      </w:r>
      <w:r>
        <w:t xml:space="preserve">(Hernán and Robins 2020, 219)</w:t>
      </w:r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Monotonicity is safe in trials (participants are unlikely to consent in order to do the opposite of what they are asked),</w:t>
      </w:r>
      <w:r>
        <w:t xml:space="preserve"> </w:t>
      </w:r>
      <w:r>
        <w:t xml:space="preserve">and it holds by design when those assigned to no treatment cannot get it (no always-takers or defiers);</w:t>
      </w:r>
      <w:r>
        <w:t xml:space="preserve"> </w:t>
      </w:r>
      <w:r>
        <w:t xml:space="preserve">the effect in the compliers is then the effect in the treated.</w:t>
      </w:r>
      <w:r>
        <w:t xml:space="preserve"> </w:t>
      </w:r>
      <w:r>
        <w:t xml:space="preserve">Example (Swanson and Hernán 2014): in a clinic, one physician usually prescribes the treatment except for patients with diabetes;</w:t>
      </w:r>
      <w:r>
        <w:t xml:space="preserve"> </w:t>
      </w:r>
      <w:r>
        <w:t xml:space="preserve">the other usually does not, except for physically active patients.</w:t>
      </w:r>
      <w:r>
        <w:t xml:space="preserve"> </w:t>
      </w:r>
      <w:r>
        <w:t xml:space="preserve">A physically active patient with diabetes is treated contrary to both physicians’ preferences, i.e., is a defier.</w:t>
      </w:r>
    </w:p>
    <w:p>
      <w:pPr>
        <w:pStyle w:val="Compact"/>
        <w:numPr>
          <w:ilvl w:val="0"/>
          <w:numId w:val="1016"/>
        </w:numPr>
      </w:pPr>
      <w:r>
        <w:t xml:space="preserve">For a continuous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, monotonicity means</w:t>
      </w:r>
      <w:r>
        <w:t xml:space="preserve"> </w:t>
      </w:r>
      <m:oMath>
        <m:sSup>
          <m:e>
            <m:r>
              <m:t>A</m:t>
            </m:r>
          </m:e>
          <m:sup>
            <m:sSub>
              <m:e>
                <m:r>
                  <m:t>u</m:t>
                </m:r>
              </m:e>
              <m:sub>
                <m:r>
                  <m:t>z</m:t>
                </m:r>
              </m:sub>
            </m:sSub>
          </m:sup>
        </m:sSup>
      </m:oMath>
      <w:r>
        <w:t xml:space="preserve"> </w:t>
      </w:r>
      <w:r>
        <w:t xml:space="preserve">is non-decreasing in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A stable partition requires, e.g., all physicians with the same preference level who could have seen a patient to treat the patient identically;</w:t>
      </w:r>
      <w:r>
        <w:t xml:space="preserve"> </w:t>
      </w:r>
      <w:r>
        <w:t xml:space="preserve">it also requires deterministic counterfactuals, no interference, and stability across settings and instruments</w:t>
      </w:r>
      <w:r>
        <w:t xml:space="preserve"> </w:t>
      </w:r>
      <w:r>
        <w:t xml:space="preserve">(Hernán and Robins 2020, 220)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Bottom line</w:t>
      </w:r>
      <w:r>
        <w:t xml:space="preserve">: if the complier effect is of interest, monotonicity is most promising in double-blind two-arm trials with all-or-nothing compliance, especially when one arm has full adherence by design;</w:t>
      </w:r>
      <w:r>
        <w:t xml:space="preserve"> </w:t>
      </w:r>
      <w:r>
        <w:t xml:space="preserve">more caution is needed in complex settings and observational studies</w:t>
      </w:r>
      <w:r>
        <w:t xml:space="preserve"> </w:t>
      </w:r>
      <w:r>
        <w:t xml:space="preserve">(Hernán and Robins 2020, 220)</w:t>
      </w:r>
      <w:r>
        <w:t xml:space="preserve">.</w:t>
      </w:r>
    </w:p>
    <w:bookmarkEnd w:id="41"/>
    <w:bookmarkEnd w:id="42"/>
    <w:bookmarkStart w:id="50" w:name="X053b1e7d540b77398585adc086d2532256d8edf"/>
    <w:p>
      <w:pPr>
        <w:pStyle w:val="Heading2"/>
      </w:pPr>
      <w:r>
        <w:t xml:space="preserve">5 16.5 The Three Instrumental Conditions Revisited (pp. 220-222)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proposed instrument may violate (ii) or (iii), or barely meet (i).</w:t>
      </w:r>
      <w:r>
        <w:t xml:space="preserve"> </w:t>
      </w:r>
      <w:r>
        <w:t xml:space="preserve">Then IV estimation may be badly biased even if condition (iv) holds perfectly.</w:t>
      </w:r>
    </w:p>
    <w:bookmarkStart w:id="45" w:name="condition-i-weak-instruments"/>
    <w:p>
      <w:pPr>
        <w:pStyle w:val="Heading3"/>
      </w:pPr>
      <w:r>
        <w:t xml:space="preserve">5.1 Condition (i): Weak Instruments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16.2: Defining Weak Instruments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Substantively weak</w:t>
            </w:r>
            <w:r>
              <w:t xml:space="preserve">: the true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(the denominator) is small.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Statistically weak</w:t>
            </w:r>
            <w:r>
              <w:t xml:space="preserve">: the F-statistic for the observed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is small, typically below 10.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NHEFS instrument is weak by both: risk difference about 6%, F-statistic 0.8</w:t>
            </w:r>
            <w:r>
              <w:t xml:space="preserve"> </w:t>
            </w:r>
            <w:r>
              <w:t xml:space="preserve">(Hernán and Robins 2020, 221)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Three problems</w:t>
      </w:r>
      <w:r>
        <w:t xml:space="preserve"> </w:t>
      </w:r>
      <w:r>
        <w:t xml:space="preserve">(Hernán and Robins 2020, 220–21)</w:t>
      </w:r>
      <w:r>
        <w:t xml:space="preserve">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Wide confidence intervals</w:t>
      </w:r>
      <w:r>
        <w:t xml:space="preserve"> </w:t>
      </w:r>
      <w:r>
        <w:t xml:space="preserve">(NHEFS:</w:t>
      </w:r>
      <w:r>
        <w:t xml:space="preserve"> </w:t>
      </w:r>
      <m:oMath>
        <m:r>
          <m:rPr>
            <m:sty m:val="p"/>
          </m:rPr>
          <m:t>−</m:t>
        </m:r>
        <m:r>
          <m:t>36.5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41.3</m:t>
        </m:r>
      </m:oMath>
      <w:r>
        <w:t xml:space="preserve"> </w:t>
      </w:r>
      <w:r>
        <w:t xml:space="preserve">kg).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Bias amplification</w:t>
      </w:r>
      <w:r>
        <w:t xml:space="preserve">: any bias in the numerator (from a violation of (ii) or (iii)) is divided by the small denominator.</w:t>
      </w:r>
      <w:r>
        <w:t xml:space="preserve"> </w:t>
      </w:r>
      <w:r>
        <w:t xml:space="preserve">In NHEFS it is multiplied by about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0.0627</m:t>
        </m:r>
        <m:r>
          <m:rPr>
            <m:sty m:val="p"/>
          </m:rPr>
          <m:t>≈</m:t>
        </m:r>
        <m:r>
          <m:t>15.9</m:t>
        </m:r>
      </m:oMath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Finite-sample bias</w:t>
      </w:r>
      <w:r>
        <w:t xml:space="preserve"> </w:t>
      </w:r>
      <w:r>
        <w:t xml:space="preserve">even with a valid instrument and a large sample.</w:t>
      </w:r>
    </w:p>
    <w:p>
      <w:pPr>
        <w:pStyle w:val="FirstParagraph"/>
      </w:pPr>
      <w:r>
        <w:t xml:space="preserve">Definition 1 links to problem 2 (it holds even in an infinite sample);</w:t>
      </w:r>
      <w:r>
        <w:t xml:space="preserve"> </w:t>
      </w:r>
      <w:r>
        <w:t xml:space="preserve">definition 2 links to problem 3.</w:t>
      </w:r>
    </w:p>
    <w:p>
      <w:pPr>
        <w:pStyle w:val="BodyText"/>
      </w:pPr>
      <w:r>
        <w:t xml:space="preserve">In linear models, strong confounding guarantees a weak instrument: a strong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U</m:t>
        </m:r>
      </m:oMath>
      <w:r>
        <w:t xml:space="preserve"> </w:t>
      </w:r>
      <w:r>
        <w:t xml:space="preserve">association leaves little room for a strong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Z</m:t>
        </m:r>
      </m:oMath>
      <w:r>
        <w:t xml:space="preserve"> </w:t>
      </w:r>
      <w:r>
        <w:t xml:space="preserve">association (Martens et al. 2006)</w:t>
      </w:r>
      <w:r>
        <w:t xml:space="preserve"> </w:t>
      </w:r>
      <w:r>
        <w:t xml:space="preserve">(Hernán and Robins 2020, 220)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5"/>
    <w:bookmarkStart w:id="47" w:name="X9bc04814a1704714591c09310b4ae85b4bfafb2"/>
    <w:p>
      <w:pPr>
        <w:pStyle w:val="Heading3"/>
      </w:pPr>
      <w:r>
        <w:t xml:space="preserve">5.2 Why Weak Instruments Are Biased in Finite Samples</w:t>
      </w:r>
    </w:p>
    <w:p>
      <w:pPr>
        <w:pStyle w:val="FirstParagraph"/>
      </w:pPr>
      <w:r>
        <w:t xml:space="preserve">A randomly generated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has, in an infinite population, zero association with</w:t>
      </w:r>
      <w:r>
        <w:t xml:space="preserve"> </w:t>
      </w:r>
      <m:oMath>
        <m:r>
          <m:t>A</m:t>
        </m:r>
      </m:oMath>
      <w:r>
        <w:t xml:space="preserve">, so the IV estimand is undefined.</w:t>
      </w:r>
      <w:r>
        <w:t xml:space="preserve"> </w:t>
      </w:r>
      <w:r>
        <w:t xml:space="preserve">In a finite sample, chance creates a small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U</m:t>
        </m:r>
      </m:oMath>
      <w:r>
        <w:t xml:space="preserve">, and hence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A</m:t>
        </m:r>
      </m:oMath>
      <w:r>
        <w:t xml:space="preserve">, association, so the denominator is small but not zero and the estimate can be wildly inflated.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6" w:name="exm-nhefs-thresholds"/>
          <w:p>
            <w:pPr>
              <w:pStyle w:val="BodyText"/>
            </w:pPr>
            <w:r>
              <w:rPr>
                <w:b/>
                <w:bCs/>
              </w:rPr>
              <w:t xml:space="preserve">Example 2 (The NHEFS Instrument Behaves Like Noise)</w:t>
            </w:r>
            <w:r>
              <w:t xml:space="preserve"> </w:t>
            </w:r>
            <w:r>
              <w:t xml:space="preserve">Redefining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as price above $1.60, $1.70, $1.80, or $1.90 gives IV estimates of 41.3,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40.9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21.1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12.8</m:t>
              </m:r>
            </m:oMath>
            <w:r>
              <w:t xml:space="preserve"> </w:t>
            </w:r>
            <w:r>
              <w:t xml:space="preserve">kg, each with a huge confidence interval</w:t>
            </w:r>
            <w:r>
              <w:t xml:space="preserve"> </w:t>
            </w:r>
            <w:r>
              <w:t xml:space="preserve">(Hernán and Robins 2020, 221)</w:t>
            </w:r>
            <w:r>
              <w:t xml:space="preserve">.</w:t>
            </w:r>
          </w:p>
          <w:bookmarkEnd w:id="46"/>
        </w:tc>
      </w:tr>
    </w:tbl>
    <w:p>
      <w:pPr>
        <w:pStyle w:val="BodyText"/>
      </w:pPr>
      <w:r>
        <w:t xml:space="preserve">Given the bias and variability weak instruments create, a strong proposed instrument that slightly violates (ii) or (iii) may be preferable to a weaker but less invalid one</w:t>
      </w:r>
      <w:r>
        <w:t xml:space="preserve"> </w:t>
      </w:r>
      <w:r>
        <w:t xml:space="preserve">(Hernán and Robins 2020, 221)</w:t>
      </w:r>
      <w:r>
        <w:t xml:space="preserve">.</w:t>
      </w:r>
      <w:r>
        <w:t xml:space="preserve"> </w:t>
      </w:r>
      <w:r>
        <w:t xml:space="preserve">Bound, Jaeger and Baker (1995) documented this bias.</w:t>
      </w:r>
    </w:p>
    <w:p>
      <w:r>
        <w:pict>
          <v:rect style="width:0;height:1.5pt" o:hralign="center" o:hrstd="t" o:hr="t"/>
        </w:pict>
      </w:r>
    </w:p>
    <w:bookmarkEnd w:id="47"/>
    <w:bookmarkStart w:id="48" w:name="Xaff59b67bb3f6a1306ef1cdbfd2ae1549e63188"/>
    <w:p>
      <w:pPr>
        <w:pStyle w:val="Heading3"/>
      </w:pPr>
      <w:r>
        <w:t xml:space="preserve">5.3 Condition (ii): Direct Effects of the Instrument</w:t>
      </w:r>
    </w:p>
    <w:p>
      <w:pPr>
        <w:pStyle w:val="Compact"/>
        <w:numPr>
          <w:ilvl w:val="0"/>
          <w:numId w:val="1019"/>
        </w:numPr>
      </w:pPr>
      <w:r>
        <w:t xml:space="preserve">A direct arrow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(Figure 16.8) adds to the numerator, and the denominator inflates it as if it were an effect of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Coarsening the treatment</w:t>
      </w:r>
      <w:r>
        <w:t xml:space="preserve"> </w:t>
      </w:r>
      <w:r>
        <w:t xml:space="preserve">can create a violation: if a continuous or multi-valued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replaced by a dichotomized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the path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a direct effect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not mediated by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(Figure 16.9).</w:t>
      </w:r>
      <w:r>
        <w:t xml:space="preserve"> </w:t>
      </w:r>
      <w:r>
        <w:t xml:space="preserve">Coarsening is a problem for IV estimation but not necessarily for the methods of earlier chapters</w:t>
      </w:r>
      <w:r>
        <w:t xml:space="preserve"> </w:t>
      </w:r>
      <w:r>
        <w:t xml:space="preserve">(Hernán and Robins 2020, 221–22)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8"/>
    <w:bookmarkStart w:id="49" w:name="X3e72c2d2fdb8dcd56463633c57f7d1ef731648b"/>
    <w:p>
      <w:pPr>
        <w:pStyle w:val="Heading3"/>
      </w:pPr>
      <w:r>
        <w:t xml:space="preserve">5.4 Condition (iii): Confounding and Selection Bias</w:t>
      </w:r>
    </w:p>
    <w:p>
      <w:pPr>
        <w:pStyle w:val="Compact"/>
        <w:numPr>
          <w:ilvl w:val="0"/>
          <w:numId w:val="1020"/>
        </w:numPr>
      </w:pPr>
      <w:r>
        <w:t xml:space="preserve">Common causes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(which may or may not also cause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w:r>
        <w:t xml:space="preserve">Figure 16.10) bias the numerator, and the bias is inflated by the denominator.</w:t>
      </w:r>
      <w:r>
        <w:t xml:space="preserve"> </w:t>
      </w:r>
      <w:r>
        <w:t xml:space="preserve">In observational studies this possibility always exists.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Adjusting for measured pre-instrument covariates</w:t>
      </w:r>
      <w:r>
        <w:rPr>
          <w:b/>
          <w:bCs/>
        </w:rPr>
        <w:t xml:space="preserve"> </w:t>
      </w:r>
      <m:oMath>
        <m:r>
          <m:t>V</m:t>
        </m:r>
      </m:oMath>
      <w:r>
        <w:t xml:space="preserve">: assume no unmeasured confounding of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within levels of</w:t>
      </w:r>
      <w:r>
        <w:t xml:space="preserve"> </w:t>
      </w:r>
      <m:oMath>
        <m:r>
          <m:t>V</m:t>
        </m:r>
      </m:oMath>
      <w:r>
        <w:t xml:space="preserve">,</w:t>
      </w:r>
      <w:r>
        <w:t xml:space="preserve"> </w:t>
      </w:r>
      <w:r>
        <w:t xml:space="preserve">then do IV estimation within strata of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 pool (assuming the effect is constant across</w:t>
      </w:r>
      <w:r>
        <w:t xml:space="preserve"> </w:t>
      </w:r>
      <m:oMath>
        <m:r>
          <m:t>V</m:t>
        </m:r>
      </m:oMath>
      <w:r>
        <w:t xml:space="preserve">), or include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in the two-stage models.</w:t>
      </w:r>
      <w:r>
        <w:t xml:space="preserve"> </w:t>
      </w:r>
      <w:r>
        <w:t xml:space="preserve">In NHEFS this reduced the effect estimate and widened its 95% confidence interval</w:t>
      </w:r>
      <w:r>
        <w:t xml:space="preserve"> </w:t>
      </w:r>
      <w:r>
        <w:t xml:space="preserve">(Hernán and Robins 2020, 222)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Checking balance</w:t>
      </w:r>
      <w:r>
        <w:t xml:space="preserve"> </w:t>
      </w:r>
      <w:r>
        <w:t xml:space="preserve">of measured confounders across levels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can give false security: small imbalances can cause large biases through amplification.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Selection bias</w:t>
      </w:r>
      <w:r>
        <w:t xml:space="preserve">: excluding individuals with some treatment levels (e.g., keeping only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}</m:t>
        </m:r>
      </m:oMath>
      <w:r>
        <w:t xml:space="preserve">) can give a non-null IV estimate under the null,</w:t>
      </w:r>
      <w:r>
        <w:t xml:space="preserve"> </w:t>
      </w:r>
      <w:r>
        <w:t xml:space="preserve">although it does not bias a non-IV comparison of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versus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FirstParagraph"/>
      </w:pPr>
      <w:r>
        <w:t xml:space="preserve">All these problems get worse when several proposed instruments are used together to compensate for weakness:</w:t>
      </w:r>
      <w:r>
        <w:t xml:space="preserve"> </w:t>
      </w:r>
      <w:r>
        <w:t xml:space="preserve">the more proposed instruments, the more likely that some of them violate a condition</w:t>
      </w:r>
      <w:r>
        <w:t xml:space="preserve"> </w:t>
      </w:r>
      <w:r>
        <w:t xml:space="preserve">(Hernán and Robins 2020, 222)</w:t>
      </w:r>
      <w:r>
        <w:t xml:space="preserve">.</w:t>
      </w:r>
    </w:p>
    <w:bookmarkEnd w:id="49"/>
    <w:bookmarkEnd w:id="50"/>
    <w:bookmarkStart w:id="53" w:name="X69cd228237b0cae31cc26fe905c4ccc45e0084d"/>
    <w:p>
      <w:pPr>
        <w:pStyle w:val="Heading2"/>
      </w:pPr>
      <w:r>
        <w:t xml:space="preserve">6 16.6 Instrumental Variable Estimation versus Other Methods (pp. 223-225)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IV estimation differs from the earlier methods in at least three ways</w:t>
      </w:r>
      <w:r>
        <w:t xml:space="preserve"> </w:t>
      </w:r>
      <w:r>
        <w:t xml:space="preserve">(Hernán and Robins 2020, 223)</w:t>
      </w:r>
      <w:r>
        <w:t xml:space="preserve">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Different assumptions</w:t>
      </w:r>
      <w:r>
        <w:t xml:space="preserve">: it replaces conditional exchangeability of treated and untreated with conditions (i)-(iv).</w:t>
      </w:r>
      <w:r>
        <w:t xml:space="preserve"> </w:t>
      </w:r>
      <w:r>
        <w:t xml:space="preserve">The choice depends on whether it is easier to measure the confounders or to find an instrument and expect monotonicity or no relevant effect heterogeneity.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Sensitivity to violations</w:t>
      </w:r>
      <w:r>
        <w:t xml:space="preserve">: because the denominator blows up the numerator, small violations or a weak instrument can cause large bias in either direction, possibly larger than an unadjusted estimate.</w:t>
      </w:r>
      <w:r>
        <w:t xml:space="preserve"> </w:t>
      </w:r>
      <w:r>
        <w:t xml:space="preserve">Slight violations of the conditions for IP weighting or standardization tend to give only slight bias.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Narrower applicability</w:t>
      </w:r>
      <w:r>
        <w:t xml:space="preserve">: standard IV estimation suits settings with lots of unmeasured confounding, a truly dichotomous time-fixed treatment, a strong (causal) instrument, and either effect homogeneity or (if the complier effect is of interest) monotonicity.</w:t>
      </w:r>
      <w:r>
        <w:t xml:space="preserve"> </w:t>
      </w:r>
      <w:r>
        <w:t xml:space="preserve">So it is mostly used for point interventions and plays a small role in Part III (time-varying treatments).</w:t>
      </w:r>
    </w:p>
    <w:p>
      <w:pPr>
        <w:pStyle w:val="FirstParagraph"/>
      </w:pPr>
      <w:r>
        <w:t xml:space="preserve">Because it rests on different assumptions, IV estimation is useful for</w:t>
      </w:r>
      <w:r>
        <w:t xml:space="preserve"> </w:t>
      </w:r>
      <w:r>
        <w:rPr>
          <w:b/>
          <w:bCs/>
        </w:rPr>
        <w:t xml:space="preserve">triangulation</w:t>
      </w:r>
      <w:r>
        <w:t xml:space="preserve">,</w:t>
      </w:r>
      <w:r>
        <w:t xml:space="preserve"> </w:t>
      </w:r>
      <w:r>
        <w:t xml:space="preserve">but the wide confidence intervals typical of IV estimates often limit its added value,</w:t>
      </w:r>
      <w:r>
        <w:t xml:space="preserve"> </w:t>
      </w:r>
      <w:r>
        <w:t xml:space="preserve">and the counterintuitive direction and size of its biases need special attention.</w:t>
      </w:r>
      <w:r>
        <w:t xml:space="preserve"> </w:t>
      </w:r>
      <w:r>
        <w:t xml:space="preserve">Sensitivity analyses and transparent reporting are important</w:t>
      </w:r>
      <w:r>
        <w:t xml:space="preserve"> </w:t>
      </w:r>
      <w:r>
        <w:t xml:space="preserve">(Hernán and Robins 2020, 223)</w:t>
      </w:r>
      <w:r>
        <w:t xml:space="preserve">.</w:t>
      </w:r>
      <w:r>
        <w:t xml:space="preserve"> </w:t>
      </w:r>
      <w:r>
        <w:t xml:space="preserve">Regression discontinuity (Fine Point 16.3) and difference-in-differences (Technical Point 7.3) also identify effects without conditional exchangeability.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16.3: Regression Discontinuity Design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Example: an antiviral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for COVID-19 is given to everyone aged 65 or older (</w:t>
            </w:r>
            <m:oMath>
              <m:r>
                <m:t>L</m:t>
              </m:r>
              <m:r>
                <m:rPr>
                  <m:sty m:val="p"/>
                </m:rPr>
                <m:t>≥</m:t>
              </m:r>
              <m:r>
                <m:t>65</m:t>
              </m:r>
            </m:oMath>
            <w:r>
              <w:t xml:space="preserve">) and to no one younger, 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&lt;</m:t>
              </m:r>
              <m:r>
                <m:t>65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≥</m:t>
              </m:r>
              <m:r>
                <m:t>65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There is no positivity.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rPr>
                <w:b/>
                <w:bCs/>
              </w:rPr>
              <w:t xml:space="preserve">Continuity assumption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are continuous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(at least around the threshold), and individuals just on either side are exchangeable.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Then a jump in the observed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65</m:t>
              </m:r>
            </m:oMath>
            <w:r>
              <w:t xml:space="preserve"> </w:t>
            </w:r>
            <w:r>
              <w:t xml:space="preserve">estimates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among those with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near the threshold</w:t>
            </w:r>
            <w:r>
              <w:t xml:space="preserve">,</w:t>
            </w:r>
            <w:r>
              <w:t xml:space="preserve"> </w:t>
            </w:r>
            <w:r>
              <w:t xml:space="preserve">e.g., by comparing mean outcomes within a chosen bandwidth, typically with regression models fit on each side.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The bandwidth trades precision against bias;</w:t>
            </w:r>
            <w:r>
              <w:t xml:space="preserve"> </w:t>
            </w:r>
            <w:r>
              <w:t xml:space="preserve">data-adaptive procedures such as cross-validation can help choose it.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This is a</w:t>
            </w:r>
            <w:r>
              <w:t xml:space="preserve"> </w:t>
            </w:r>
            <w:r>
              <w:rPr>
                <w:b/>
                <w:bCs/>
              </w:rPr>
              <w:t xml:space="preserve">sharp</w:t>
            </w:r>
            <w:r>
              <w:t xml:space="preserve"> </w:t>
            </w:r>
            <w:r>
              <w:t xml:space="preserve">design;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fuzzy</w:t>
            </w:r>
            <w:r>
              <w:t xml:space="preserve"> </w:t>
            </w:r>
            <w:r>
              <w:t xml:space="preserve">design, where the treatment probability jumps but not from 0 to 1, relies on monotonicity and estimates the effect in the compliers near the threshold</w:t>
            </w:r>
            <w:r>
              <w:t xml:space="preserve"> </w:t>
            </w:r>
            <w:r>
              <w:t xml:space="preserve">(Hernán and Robins 2020, 225)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The design is biased if other treatments also change at the threshold (e.g., intensive care restricted to those 65 and older),</w:t>
      </w:r>
      <w:r>
        <w:t xml:space="preserve"> </w:t>
      </w:r>
      <w:r>
        <w:t xml:space="preserve">or if people manipulate the running variable (e.g., falsify their age).</w:t>
      </w:r>
      <w:r>
        <w:t xml:space="preserve"> </w:t>
      </w:r>
      <w:r>
        <w:t xml:space="preserve">The near-threshold effect can differ from the population effect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an effect modifier</w:t>
      </w:r>
      <w:r>
        <w:t xml:space="preserve"> </w:t>
      </w:r>
      <w:r>
        <w:t xml:space="preserve">(Hernán and Robins 2020, 225)</w:t>
      </w:r>
      <w:r>
        <w:t xml:space="preserve">.</w:t>
      </w:r>
    </w:p>
    <w:bookmarkEnd w:id="53"/>
    <w:bookmarkStart w:id="57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3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instrument</w:t>
      </w:r>
      <w:r>
        <w:t xml:space="preserve"> </w:t>
      </w:r>
      <w:r>
        <w:t xml:space="preserve">meets (i) association with</w:t>
      </w:r>
      <w:r>
        <w:t xml:space="preserve"> </w:t>
      </w:r>
      <m:oMath>
        <m:r>
          <m:t>A</m:t>
        </m:r>
      </m:oMath>
      <w:r>
        <w:t xml:space="preserve">, (ii) no effect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except through</w:t>
      </w:r>
      <w:r>
        <w:t xml:space="preserve"> </w:t>
      </w:r>
      <m:oMath>
        <m:r>
          <m:t>A</m:t>
        </m:r>
      </m:oMath>
      <w:r>
        <w:t xml:space="preserve">, (iii) no shared causes with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only (i) is testable.</w:t>
      </w:r>
    </w:p>
    <w:p>
      <w:pPr>
        <w:pStyle w:val="Compact"/>
        <w:numPr>
          <w:ilvl w:val="0"/>
          <w:numId w:val="1023"/>
        </w:numPr>
      </w:pPr>
      <w:r>
        <w:t xml:space="preserve">Alone, an instrument identifies only (usually wide)</w:t>
      </w:r>
      <w:r>
        <w:t xml:space="preserve"> </w:t>
      </w:r>
      <w:r>
        <w:rPr>
          <w:b/>
          <w:bCs/>
        </w:rPr>
        <w:t xml:space="preserve">bounds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Usual IV estimand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e>
            </m:d>
            <m:r>
              <m:t>​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e>
            </m:d>
            <m:r>
              <m:t>​</m:t>
            </m:r>
          </m:num>
          <m:den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e>
            </m:d>
            <m:r>
              <m:t>​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e>
            </m:d>
            <m:r>
              <m:t>​</m:t>
            </m:r>
          </m:den>
        </m:f>
      </m:oMath>
      <w:r>
        <w:t xml:space="preserve">, computed directly or by two-stage least squares.</w:t>
      </w:r>
    </w:p>
    <w:p>
      <w:pPr>
        <w:pStyle w:val="Compact"/>
        <w:numPr>
          <w:ilvl w:val="0"/>
          <w:numId w:val="1023"/>
        </w:numPr>
      </w:pPr>
      <w:r>
        <w:t xml:space="preserve">Adding</w:t>
      </w:r>
      <w:r>
        <w:t xml:space="preserve"> </w:t>
      </w:r>
      <w:r>
        <w:rPr>
          <w:b/>
          <w:bCs/>
        </w:rPr>
        <w:t xml:space="preserve">homogeneity</w:t>
      </w:r>
      <w:r>
        <w:t xml:space="preserve"> </w:t>
      </w:r>
      <w:r>
        <w:t xml:space="preserve">(iv) makes it the population average causal effect;</w:t>
      </w:r>
      <w:r>
        <w:t xml:space="preserve"> </w:t>
      </w:r>
      <w:r>
        <w:t xml:space="preserve">adding</w:t>
      </w:r>
      <w:r>
        <w:t xml:space="preserve"> </w:t>
      </w:r>
      <w:r>
        <w:rPr>
          <w:b/>
          <w:bCs/>
        </w:rPr>
        <w:t xml:space="preserve">monotonicity</w:t>
      </w:r>
      <w:r>
        <w:t xml:space="preserve"> </w:t>
      </w:r>
      <w:r>
        <w:t xml:space="preserve">(iv) instead makes it the effect in the</w:t>
      </w:r>
      <w:r>
        <w:t xml:space="preserve"> </w:t>
      </w:r>
      <w:r>
        <w:rPr>
          <w:b/>
          <w:bCs/>
        </w:rPr>
        <w:t xml:space="preserve">compliers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NHEFS</w:t>
      </w:r>
      <w:r>
        <w:t xml:space="preserve">: estimate 2.4 kg (95% CI</w:t>
      </w:r>
      <w:r>
        <w:t xml:space="preserve"> </w:t>
      </w:r>
      <m:oMath>
        <m:r>
          <m:rPr>
            <m:sty m:val="p"/>
          </m:rPr>
          <m:t>−</m:t>
        </m:r>
        <m:r>
          <m:t>36.5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41.3</m:t>
        </m:r>
      </m:oMath>
      <w:r>
        <w:t xml:space="preserve">) from a weak instrument (risk difference 6%, F = 0.8).</w:t>
      </w:r>
    </w:p>
    <w:p>
      <w:pPr>
        <w:pStyle w:val="Compact"/>
        <w:numPr>
          <w:ilvl w:val="0"/>
          <w:numId w:val="1023"/>
        </w:numPr>
      </w:pPr>
      <w:r>
        <w:t xml:space="preserve">Weak instruments widen intervals, amplify bias, and are biased in finite samples;</w:t>
      </w:r>
      <w:r>
        <w:t xml:space="preserve"> </w:t>
      </w:r>
      <w:r>
        <w:t xml:space="preserve">violations of (ii) and (iii) are inflated by the small denominator.</w:t>
      </w:r>
    </w:p>
    <w:bookmarkStart w:id="56" w:name="refs"/>
    <w:bookmarkStart w:id="55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54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54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4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16: Instrumental Variable Estimation</dc:title>
  <dc:creator/>
  <cp:keywords/>
  <dcterms:created xsi:type="dcterms:W3CDTF">2026-10-09T09:52:03Z</dcterms:created>
  <dcterms:modified xsi:type="dcterms:W3CDTF">2026-10-09T09:52:03Z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