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6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16.5))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16.5)).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2"/>
    <w:bookmarkStart w:id="35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5"/>
    <w:bookmarkEnd w:id="36"/>
    <w:bookmarkStart w:id="42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16.7))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16.7)).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result is due to Imbens and Angrist (1994);</w:t>
      </w:r>
      <w:r>
        <w:t xml:space="preserve"> </w:t>
      </w:r>
      <w:r>
        <w:t xml:space="preserve">Baker and Lindeman (1994) had a related proof for a binary outcome</w:t>
      </w:r>
      <w:r>
        <w:t xml:space="preserve"> </w:t>
      </w:r>
      <w:r>
        <w:t xml:space="preserve">(Hernán and Robins 2020, 224)</w:t>
      </w:r>
      <w:r>
        <w:t xml:space="preserve">.</w:t>
      </w:r>
      <w:r>
        <w:t xml:space="preserve"> </w:t>
      </w:r>
      <w:r>
        <w:t xml:space="preserve">For a surrogate instrument</w:t>
      </w:r>
      <w:r>
        <w:t xml:space="preserve"> </w:t>
      </w:r>
      <m:oMath>
        <m:r>
          <m:t>Z</m:t>
        </m:r>
      </m:oMath>
      <w:r>
        <w:t xml:space="preserve">, Hernán and Robins (2006b) showed that the usual IV estimator still identifies the effect in the compliers (defined by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),</w:t>
      </w:r>
      <w:r>
        <w:t xml:space="preserve"> </w:t>
      </w:r>
      <w:r>
        <w:t xml:space="preserve">but only 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binary, and that independence is rarely plausible unless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</w:t>
      </w:r>
      <w:r>
        <w:t xml:space="preserve"> </w:t>
      </w:r>
      <w:r>
        <w:t xml:space="preserve">(Hernán and Robins 2020, 224)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40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1"/>
    <w:bookmarkEnd w:id="42"/>
    <w:bookmarkStart w:id="50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5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7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47"/>
    <w:bookmarkStart w:id="48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8"/>
    <w:bookmarkStart w:id="49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49"/>
    <w:bookmarkEnd w:id="50"/>
    <w:bookmarkStart w:id="53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3"/>
    <w:bookmarkStart w:id="5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56" w:name="refs"/>
    <w:bookmarkStart w:id="5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2026-10-09T10:22:49Z</dcterms:created>
  <dcterms:modified xsi:type="dcterms:W3CDTF">2026-10-09T10:22:49Z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