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1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0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0"/>
    <w:bookmarkEnd w:id="71"/>
    <w:bookmarkStart w:id="98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4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 (Fine Point 21.3))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0"/>
        </w:tc>
      </w:tr>
    </w:tbl>
    <w:bookmarkStart w:id="86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86"/>
    <w:bookmarkStart w:id="91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0"/>
        </w:tc>
      </w:tr>
    </w:tbl>
    <w:bookmarkEnd w:id="91"/>
    <w:bookmarkStart w:id="97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9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97"/>
    <w:bookmarkEnd w:id="98"/>
    <w:bookmarkStart w:id="114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1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13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0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13"/>
    <w:bookmarkEnd w:id="114"/>
    <w:bookmarkStart w:id="124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6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17"/>
        </w:tc>
      </w:tr>
    </w:tbl>
    <w:bookmarkStart w:id="123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1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 (Technical Point 21.11))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rem-front-door-other-proofs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(Other proofs of the front door formula). </w:t>
            </w:r>
            <w:r>
              <w:t xml:space="preserve">Technical Point 21.11 also gives a coupling argument,</w:t>
            </w:r>
            <w:r>
              <w:t xml:space="preserve"> </w:t>
            </w:r>
            <w:r>
              <w:t xml:space="preserve">and Technical Point 21.12 a proof based on a SWIG property (Shpitser et al. 2022):</w:t>
            </w:r>
            <w:r>
              <w:t xml:space="preserve"> </w:t>
            </w:r>
            <w:r>
              <w:t xml:space="preserve">if a fixed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d-separated from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on the SWIG,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301–2)</w:t>
            </w:r>
            <w:r>
              <w:t xml:space="preserve">.</w:t>
            </w:r>
          </w:p>
          <w:bookmarkEnd w:id="122"/>
        </w:tc>
      </w:tr>
    </w:tbl>
    <w:bookmarkEnd w:id="123"/>
    <w:bookmarkEnd w:id="124"/>
    <w:bookmarkStart w:id="12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25"/>
    <w:bookmarkStart w:id="12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8" w:name="refs"/>
    <w:bookmarkStart w:id="12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7"/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2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2026-10-09T09:53:55Z</dcterms:created>
  <dcterms:modified xsi:type="dcterms:W3CDTF">2026-10-09T09:53:55Z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