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Chapter 16: Instrumental Variable Estimation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pPr>
        <w:pStyle w:val="FirstParagraph"/>
      </w:pPr>
      <w:r>
        <w:t xml:space="preserve">Every method in the previous chapters needs all the variables required to adjust for confounding and selection bias to be identified and measured correctly.</w:t>
      </w:r>
      <w:r>
        <w:t xml:space="preserve"> </w:t>
      </w:r>
      <w:r>
        <w:rPr>
          <w:b/>
          <w:bCs/>
        </w:rPr>
        <w:t xml:space="preserve">Instrumental variable (IV) estimation</w:t>
      </w:r>
      <w:r>
        <w:t xml:space="preserve"> </w:t>
      </w:r>
      <w:r>
        <w:t xml:space="preserve">replaces that untestable assumption with a different set of (also untestable) assumptions,</w:t>
      </w:r>
      <w:r>
        <w:t xml:space="preserve"> </w:t>
      </w:r>
      <w:r>
        <w:t xml:space="preserve">built around a variable</w:t>
      </w:r>
      <w:r>
        <w:t xml:space="preserve"> </w:t>
      </w:r>
      <m:oMath>
        <m:r>
          <m:t>Z</m:t>
        </m:r>
      </m:oMath>
      <w:r>
        <w:t xml:space="preserve">, the</w:t>
      </w:r>
      <w:r>
        <w:t xml:space="preserve"> </w:t>
      </w:r>
      <w:r>
        <w:rPr>
          <w:b/>
          <w:bCs/>
        </w:rPr>
        <w:t xml:space="preserve">instrument</w:t>
      </w:r>
      <w:r>
        <w:t xml:space="preserve">, that does not require measuring the confounders.</w:t>
      </w:r>
    </w:p>
    <w:p>
      <w:pPr>
        <w:pStyle w:val="BodyText"/>
      </w:pPr>
      <w:r>
        <w:t xml:space="preserve">This chapter is based on</w:t>
      </w:r>
      <w:r>
        <w:t xml:space="preserve"> </w:t>
      </w:r>
      <w:r>
        <w:t xml:space="preserve">Hernán and Robins (2020, chap. 16, pp. 209-225)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Key theme</w:t>
      </w:r>
      <w:r>
        <w:t xml:space="preserve">: an instrument alone identifies only bounds on the average causal effect.</w:t>
      </w:r>
      <w:r>
        <w:t xml:space="preserve"> </w:t>
      </w:r>
      <w:r>
        <w:t xml:space="preserve">A point estimate needs a fourth, untestable condition:</w:t>
      </w:r>
      <w:r>
        <w:t xml:space="preserve"> </w:t>
      </w:r>
      <w:r>
        <w:t xml:space="preserve">either some form of</w:t>
      </w:r>
      <w:r>
        <w:t xml:space="preserve"> </w:t>
      </w:r>
      <w:r>
        <w:rPr>
          <w:b/>
          <w:bCs/>
        </w:rPr>
        <w:t xml:space="preserve">effect homogeneity</w:t>
      </w:r>
      <w:r>
        <w:t xml:space="preserve"> </w:t>
      </w:r>
      <w:r>
        <w:t xml:space="preserve">(giving the average causal effect in the population)</w:t>
      </w:r>
      <w:r>
        <w:t xml:space="preserve"> </w:t>
      </w:r>
      <w:r>
        <w:t xml:space="preserve">or</w:t>
      </w:r>
      <w:r>
        <w:t xml:space="preserve"> </w:t>
      </w:r>
      <w:r>
        <w:rPr>
          <w:b/>
          <w:bCs/>
        </w:rPr>
        <w:t xml:space="preserve">monotonicity</w:t>
      </w:r>
      <w:r>
        <w:t xml:space="preserve"> </w:t>
      </w:r>
      <w:r>
        <w:t xml:space="preserve">(giving the effect in the</w:t>
      </w:r>
      <w:r>
        <w:t xml:space="preserve"> </w:t>
      </w:r>
      <w:r>
        <w:t xml:space="preserve">“compliers”</w:t>
      </w:r>
      <w:r>
        <w:t xml:space="preserve"> </w:t>
      </w:r>
      <w:r>
        <w:t xml:space="preserve">only).</w:t>
      </w:r>
      <w:r>
        <w:t xml:space="preserve"> </w:t>
      </w:r>
      <w:r>
        <w:t xml:space="preserve">And because the IV estimator divides by the instrument-treatment association,</w:t>
      </w:r>
      <w:r>
        <w:t xml:space="preserve"> </w:t>
      </w:r>
      <w:r>
        <w:t xml:space="preserve">small violations of any condition can produce large biases.</w:t>
      </w:r>
    </w:p>
    <w:bookmarkStart w:id="21" w:name="X40c8cab56a12743ad3d111724a0680e26207c7f"/>
    <w:p>
      <w:pPr>
        <w:pStyle w:val="Heading2"/>
      </w:pPr>
      <w:r>
        <w:t xml:space="preserve">1 16.1 The Three Instrumental Conditions (pp. 209-212)</w:t>
      </w:r>
    </w:p>
    <w:p>
      <w:r>
        <w:pict>
          <v:rect style="width:0;height:1.5pt" o:hralign="center" o:hrstd="t" o:hr="t"/>
        </w:pict>
      </w:r>
    </w:p>
    <w:bookmarkStart w:id="13" w:name="a-double-blind-randomized-trial"/>
    <w:p>
      <w:pPr>
        <w:pStyle w:val="Heading3"/>
      </w:pPr>
      <w:r>
        <w:t xml:space="preserve">1.1 A Double-Blind Randomized Trial</w:t>
      </w:r>
    </w:p>
    <w:p>
      <w:pPr>
        <w:pStyle w:val="Compact"/>
        <w:numPr>
          <w:ilvl w:val="0"/>
          <w:numId w:val="1001"/>
        </w:numPr>
      </w:pPr>
      <m:oMath>
        <m:r>
          <m:t>Z</m:t>
        </m:r>
      </m:oMath>
      <w:r>
        <w:t xml:space="preserve">: randomization assignment (1: treatment, 0: placebo)</w:t>
      </w:r>
    </w:p>
    <w:p>
      <w:pPr>
        <w:pStyle w:val="Compact"/>
        <w:numPr>
          <w:ilvl w:val="0"/>
          <w:numId w:val="1001"/>
        </w:numPr>
      </w:pPr>
      <m:oMath>
        <m:r>
          <m:t>A</m:t>
        </m:r>
      </m:oMath>
      <w:r>
        <w:t xml:space="preserve">: treatment actually received (1: yes, 0: no); not everyone adheres</w:t>
      </w:r>
    </w:p>
    <w:p>
      <w:pPr>
        <w:pStyle w:val="Compact"/>
        <w:numPr>
          <w:ilvl w:val="0"/>
          <w:numId w:val="1001"/>
        </w:numPr>
      </w:pPr>
      <m:oMath>
        <m:r>
          <m:t>Y</m:t>
        </m:r>
      </m:oMath>
      <w:r>
        <w:t xml:space="preserve">: outcome</w:t>
      </w:r>
    </w:p>
    <w:p>
      <w:pPr>
        <w:pStyle w:val="Compact"/>
        <w:numPr>
          <w:ilvl w:val="0"/>
          <w:numId w:val="1001"/>
        </w:numPr>
      </w:pPr>
      <m:oMath>
        <m:r>
          <m:t>U</m:t>
        </m:r>
      </m:oMath>
      <w:r>
        <w:t xml:space="preserve">: factors, some unmeasured, that affect both adherence and the outcome</w:t>
      </w:r>
    </w:p>
    <w:p>
      <w:pPr>
        <w:pStyle w:val="FirstParagraph"/>
      </w:pPr>
      <w:r>
        <w:t xml:space="preserve">In the book’s Figure 16.1,</w:t>
      </w:r>
      <w:r>
        <w:t xml:space="preserve"> </w:t>
      </w:r>
      <m:oMath>
        <m:r>
          <m:t>Z</m:t>
        </m:r>
        <m:r>
          <m:rPr>
            <m:sty m:val="p"/>
          </m:rPr>
          <m:t>→</m:t>
        </m:r>
        <m:r>
          <m:t>A</m:t>
        </m:r>
        <m:r>
          <m:rPr>
            <m:sty m:val="p"/>
          </m:rPr>
          <m:t>→</m:t>
        </m:r>
        <m:r>
          <m:t>Y</m:t>
        </m:r>
      </m:oMath>
      <w:r>
        <w:t xml:space="preserve">, with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a common cause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.</w:t>
      </w:r>
    </w:p>
    <w:p>
      <w:pPr>
        <w:pStyle w:val="BodyText"/>
      </w:pPr>
      <w:r>
        <w:t xml:space="preserve">Adjustment methods (IP weighting, standardization, g-estimation, stratification, matching) need to block the backdoor path</w:t>
      </w:r>
      <w:r>
        <w:t xml:space="preserve"> </w:t>
      </w:r>
      <m:oMath>
        <m:r>
          <m:t>A</m:t>
        </m:r>
        <m:r>
          <m:rPr>
            <m:sty m:val="p"/>
          </m:rPr>
          <m:t>←</m:t>
        </m:r>
        <m:r>
          <m:t>U</m:t>
        </m:r>
        <m:r>
          <m:rPr>
            <m:sty m:val="p"/>
          </m:rPr>
          <m:t>→</m:t>
        </m:r>
        <m:r>
          <m:t>Y</m:t>
        </m:r>
      </m:oMath>
      <w:r>
        <w:t xml:space="preserve">,</w:t>
      </w:r>
      <w:r>
        <w:t xml:space="preserve"> </w:t>
      </w:r>
      <w:r>
        <w:t xml:space="preserve">so they are biased if part of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is unmeasured or mismeasured.</w:t>
      </w:r>
      <w:r>
        <w:t xml:space="preserve"> </w:t>
      </w:r>
      <w:r>
        <w:t xml:space="preserve">IV methods may identify the effect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on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without measuring</w:t>
      </w:r>
      <w:r>
        <w:t xml:space="preserve"> </w:t>
      </w:r>
      <m:oMath>
        <m:r>
          <m:t>U</m:t>
        </m:r>
      </m:oMath>
      <w:r>
        <w:t xml:space="preserve">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9" w:name="def-instrumental-conditions"/>
          <w:p>
            <w:pPr>
              <w:pStyle w:val="BodyText"/>
            </w:pPr>
            <w:r>
              <w:rPr>
                <w:b/>
                <w:bCs/>
              </w:rPr>
              <w:t xml:space="preserve">Definition 1 (The Three Instrumental Conditions)</w:t>
            </w:r>
            <w:r>
              <w:t xml:space="preserve"> </w:t>
            </w:r>
            <w:r>
              <w:t xml:space="preserve">A variable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 </w:t>
            </w:r>
            <w:r>
              <w:t xml:space="preserve">is an</w:t>
            </w:r>
            <w:r>
              <w:t xml:space="preserve"> </w:t>
            </w:r>
            <w:r>
              <w:rPr>
                <w:b/>
                <w:bCs/>
              </w:rPr>
              <w:t xml:space="preserve">instrument</w:t>
            </w:r>
            <w:r>
              <w:t xml:space="preserve"> </w:t>
            </w:r>
            <w:r>
              <w:t xml:space="preserve">for the effect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if it meets three conditions</w:t>
            </w:r>
            <w:r>
              <w:t xml:space="preserve"> </w:t>
            </w:r>
            <w:r>
              <w:t xml:space="preserve">(Hernán and Robins 2020, 209)</w:t>
            </w:r>
            <w:r>
              <w:t xml:space="preserve">: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w:r>
              <w:rPr>
                <w:b/>
                <w:bCs/>
              </w:rPr>
              <w:t xml:space="preserve">(i)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 </w:t>
            </w:r>
            <w:r>
              <w:t xml:space="preserve">is associated with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w:r>
              <w:rPr>
                <w:b/>
                <w:bCs/>
              </w:rPr>
              <w:t xml:space="preserve">(ii)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 </w:t>
            </w:r>
            <w:r>
              <w:t xml:space="preserve">does not affect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except through its potential effect on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w:r>
              <w:rPr>
                <w:b/>
                <w:bCs/>
              </w:rPr>
              <w:t xml:space="preserve">(iii)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do not share causes.</w:t>
            </w:r>
          </w:p>
          <w:bookmarkEnd w:id="9"/>
        </w:tc>
      </w:tr>
    </w:tbl>
    <w:p>
      <w:pPr>
        <w:pStyle w:val="FirstParagraph"/>
      </w:pPr>
      <w:r>
        <w:t xml:space="preserve">In the double-blind trial,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is an instrument:</w:t>
      </w:r>
      <w:r>
        <w:t xml:space="preserve"> </w:t>
      </w:r>
      <w:r>
        <w:t xml:space="preserve">(i) holds because those assigned to treatment are more likely to take it,</w:t>
      </w:r>
      <w:r>
        <w:t xml:space="preserve"> </w:t>
      </w:r>
      <w:r>
        <w:t xml:space="preserve">(ii) is expected from blinding,</w:t>
      </w:r>
      <w:r>
        <w:t xml:space="preserve"> </w:t>
      </w:r>
      <w:r>
        <w:t xml:space="preserve">and (iii) is expected from random assignment.</w:t>
      </w:r>
    </w:p>
    <w:p>
      <w:pPr>
        <w:pStyle w:val="BodyText"/>
      </w:pPr>
      <w:r>
        <w:t xml:space="preserve">Condition (ii) would fail if, for example, side effects of treatment inadvertently unblinded participants</w:t>
      </w:r>
      <w:r>
        <w:t xml:space="preserve"> </w:t>
      </w:r>
      <w:r>
        <w:t xml:space="preserve">(Hernán and Robins 2020, 209)</w:t>
      </w:r>
      <w:r>
        <w:t xml:space="preserve">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1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16.1: The Instrumental Conditions, Formally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Compact"/>
              <w:numPr>
                <w:ilvl w:val="0"/>
                <w:numId w:val="1003"/>
              </w:numPr>
            </w:pPr>
            <w:r>
              <w:rPr>
                <w:b/>
                <w:bCs/>
              </w:rPr>
              <w:t xml:space="preserve">(i) Relevance</w:t>
            </w:r>
            <w:r>
              <w:t xml:space="preserve">: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are associated, i.e.,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</m:oMath>
            <w:r>
              <w:t xml:space="preserve"> </w:t>
            </w:r>
            <w:r>
              <w:t xml:space="preserve">does not hold.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w:r>
              <w:rPr>
                <w:b/>
                <w:bCs/>
              </w:rPr>
              <w:t xml:space="preserve">(ii) Exclusion restriction</w:t>
            </w:r>
            <w:r>
              <w:t xml:space="preserve"> </w:t>
            </w:r>
            <w:r>
              <w:t xml:space="preserve">(</w:t>
            </w:r>
            <w:r>
              <w:t xml:space="preserve">“no direct effect of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”</w:t>
            </w:r>
            <w:r>
              <w:t xml:space="preserve">):</w:t>
            </w:r>
            <w:r>
              <w:t xml:space="preserve"> </w:t>
            </w:r>
            <w:r>
              <w:t xml:space="preserve">at the individual level,</w:t>
            </w:r>
            <w:r>
              <w:t xml:space="preserve"> </w:t>
            </w:r>
            <m:oMath>
              <m:sSubSup>
                <m:e>
                  <m:r>
                    <m:t>Y</m:t>
                  </m:r>
                </m:e>
                <m:sub>
                  <m:r>
                    <m:t>i</m:t>
                  </m:r>
                </m:sub>
                <m:sup>
                  <m:r>
                    <m:t>z</m:t>
                  </m:r>
                  <m:r>
                    <m:rPr>
                      <m:sty m:val="p"/>
                    </m:rPr>
                    <m:t>,</m:t>
                  </m:r>
                  <m:r>
                    <m:t>a</m:t>
                  </m:r>
                </m:sup>
              </m:sSubSup>
              <m:r>
                <m:rPr>
                  <m:sty m:val="p"/>
                </m:rPr>
                <m:t>=</m:t>
              </m:r>
              <m:sSubSup>
                <m:e>
                  <m:r>
                    <m:t>Y</m:t>
                  </m:r>
                </m:e>
                <m:sub>
                  <m:r>
                    <m:t>i</m:t>
                  </m:r>
                </m:sub>
                <m:sup>
                  <m:sSup>
                    <m:e>
                      <m:r>
                        <m:t>z</m:t>
                      </m:r>
                    </m:e>
                    <m:sup>
                      <m:r>
                        <m:rPr>
                          <m:sty m:val="p"/>
                        </m:rPr>
                        <m:t>′</m:t>
                      </m:r>
                    </m:sup>
                  </m:sSup>
                  <m:r>
                    <m:rPr>
                      <m:sty m:val="p"/>
                    </m:rPr>
                    <m:t>,</m:t>
                  </m:r>
                  <m:r>
                    <m:t>a</m:t>
                  </m:r>
                </m:sup>
              </m:sSubSup>
              <m:r>
                <m:rPr>
                  <m:sty m:val="p"/>
                </m:rPr>
                <m:t>=</m:t>
              </m:r>
              <m:sSubSup>
                <m:e>
                  <m:r>
                    <m:t>Y</m:t>
                  </m:r>
                </m:e>
                <m:sub>
                  <m:r>
                    <m:t>i</m:t>
                  </m:r>
                </m:sub>
                <m:sup>
                  <m:r>
                    <m:t>a</m:t>
                  </m:r>
                </m:sup>
              </m:sSubSup>
            </m:oMath>
            <w:r>
              <w:t xml:space="preserve"> </w:t>
            </w:r>
            <w:r>
              <w:t xml:space="preserve">for all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,</m:t>
              </m:r>
              <m:sSup>
                <m:e>
                  <m:r>
                    <m:t>z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</m:oMath>
            <w:r>
              <w:t xml:space="preserve">, all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 and all individuals</w:t>
            </w:r>
            <w:r>
              <w:t xml:space="preserve"> </w:t>
            </w:r>
            <m:oMath>
              <m:r>
                <m:t>i</m:t>
              </m:r>
            </m:oMath>
            <w:r>
              <w:t xml:space="preserve">;</w:t>
            </w:r>
            <w:r>
              <w:t xml:space="preserve"> </w:t>
            </w:r>
            <w:r>
              <w:t xml:space="preserve">some results only need the population-level version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z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a</m:t>
                      </m:r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sSup>
                        <m:e>
                          <m:r>
                            <m:t>z</m:t>
                          </m:r>
                        </m:e>
                        <m:sup>
                          <m:r>
                            <m:rPr>
                              <m:sty m:val="p"/>
                            </m:rPr>
                            <m:t>′</m:t>
                          </m:r>
                        </m:sup>
                      </m:sSup>
                      <m:r>
                        <m:rPr>
                          <m:sty m:val="p"/>
                        </m:rPr>
                        <m:t>,</m:t>
                      </m:r>
                      <m:r>
                        <m:t>a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w:r>
              <w:rPr>
                <w:b/>
                <w:bCs/>
              </w:rPr>
              <w:t xml:space="preserve">(iii)</w:t>
            </w:r>
            <w:r>
              <w:t xml:space="preserve"> </w:t>
            </w:r>
            <w:r>
              <w:t xml:space="preserve">as</w:t>
            </w:r>
            <w:r>
              <w:t xml:space="preserve"> </w:t>
            </w:r>
            <w:r>
              <w:rPr>
                <w:b/>
                <w:bCs/>
              </w:rPr>
              <w:t xml:space="preserve">marginal exchangeability</w:t>
            </w:r>
            <w:r>
              <w:t xml:space="preserve">,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z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Z</m:t>
              </m:r>
            </m:oMath>
            <w:r>
              <w:t xml:space="preserve"> </w:t>
            </w:r>
            <w:r>
              <w:t xml:space="preserve">for all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,</m:t>
              </m:r>
              <m:r>
                <m:t>z</m:t>
              </m:r>
            </m:oMath>
            <w:r>
              <w:t xml:space="preserve">;</w:t>
            </w:r>
            <w:r>
              <w:t xml:space="preserve"> </w:t>
            </w:r>
            <w:r>
              <w:t xml:space="preserve">together with the individual-level (ii) it implies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Z</m:t>
              </m:r>
            </m:oMath>
            <w:r>
              <w:t xml:space="preserve">.</w:t>
            </w:r>
            <w:r>
              <w:t xml:space="preserve"> </w:t>
            </w:r>
            <w:r>
              <w:t xml:space="preserve">A stronger version is</w:t>
            </w:r>
            <w:r>
              <w:t xml:space="preserve"> </w:t>
            </w:r>
            <w:r>
              <w:rPr>
                <w:b/>
                <w:bCs/>
              </w:rPr>
              <w:t xml:space="preserve">joint exchangeability</w:t>
            </w:r>
            <w:r>
              <w:t xml:space="preserve">,</w:t>
            </w:r>
            <w:r>
              <w:t xml:space="preserve"> </w:t>
            </w:r>
            <m:oMath>
              <m:r>
                <m:rPr>
                  <m:sty m:val="p"/>
                </m:rPr>
                <m:t>{</m:t>
              </m:r>
              <m:sSup>
                <m:e>
                  <m:r>
                    <m:t>Y</m:t>
                  </m:r>
                </m:e>
                <m:sup>
                  <m:r>
                    <m:t>z</m:t>
                  </m:r>
                  <m:r>
                    <m:rPr>
                      <m:sty m:val="p"/>
                    </m:rPr>
                    <m:t>,</m:t>
                  </m:r>
                  <m:r>
                    <m:t>a</m:t>
                  </m:r>
                </m:sup>
              </m:sSup>
              <m:r>
                <m:rPr>
                  <m:sty m:val="p"/>
                </m:rPr>
                <m:t>;</m:t>
              </m:r>
              <m:r>
                <m:t> </m:t>
              </m:r>
              <m:r>
                <m:t>a</m:t>
              </m:r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{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}</m:t>
              </m:r>
              <m:r>
                <m:rPr>
                  <m:sty m:val="p"/>
                </m:rPr>
                <m:t>,</m:t>
              </m:r>
              <m:r>
                <m:t> </m:t>
              </m:r>
              <m:r>
                <m:t>z</m:t>
              </m:r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{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}</m:t>
              </m:r>
              <m:r>
                <m:rPr>
                  <m:sty m:val="p"/>
                </m:rPr>
                <m:t>}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Z</m:t>
              </m:r>
            </m:oMath>
            <w:r>
              <w:t xml:space="preserve"> </w:t>
            </w:r>
            <w:r>
              <w:t xml:space="preserve">(dichotomous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).</w:t>
            </w:r>
          </w:p>
          <w:p>
            <w:pPr>
              <w:pStyle w:val="FirstParagraph"/>
            </w:pPr>
            <w:pPr>
              <w:spacing w:after="16"/>
            </w:pPr>
            <w:r>
              <w:t xml:space="preserve">All of these are expected to hold in a double-blind randomized trial</w:t>
            </w:r>
            <w:r>
              <w:t xml:space="preserve"> </w:t>
            </w:r>
            <w:r>
              <w:t xml:space="preserve">(Hernán and Robins 2020, 210)</w:t>
            </w:r>
            <w:r>
              <w:t xml:space="preserve">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bookmarkEnd w:id="13"/>
    <w:bookmarkStart w:id="14" w:name="causal-and-surrogate-instruments"/>
    <w:p>
      <w:pPr>
        <w:pStyle w:val="Heading3"/>
      </w:pPr>
      <w:r>
        <w:t xml:space="preserve">1.2 Causal and Surrogate Instruments</w:t>
      </w:r>
    </w:p>
    <w:p>
      <w:pPr>
        <w:pStyle w:val="Compact"/>
        <w:numPr>
          <w:ilvl w:val="0"/>
          <w:numId w:val="1004"/>
        </w:numPr>
      </w:pPr>
      <w:r>
        <w:t xml:space="preserve">A</w:t>
      </w:r>
      <w:r>
        <w:t xml:space="preserve"> </w:t>
      </w:r>
      <w:r>
        <w:rPr>
          <w:b/>
          <w:bCs/>
        </w:rPr>
        <w:t xml:space="preserve">causal instrument</w:t>
      </w:r>
      <w:r>
        <w:t xml:space="preserve"> </w:t>
      </w:r>
      <w:r>
        <w:t xml:space="preserve">has a causal effect on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(Figure 16.1).</w:t>
      </w:r>
    </w:p>
    <w:p>
      <w:pPr>
        <w:pStyle w:val="Compact"/>
        <w:numPr>
          <w:ilvl w:val="0"/>
          <w:numId w:val="1004"/>
        </w:numPr>
      </w:pPr>
      <w:r>
        <w:t xml:space="preserve">A</w:t>
      </w:r>
      <w:r>
        <w:t xml:space="preserve"> </w:t>
      </w:r>
      <w:r>
        <w:rPr>
          <w:b/>
          <w:bCs/>
        </w:rPr>
        <w:t xml:space="preserve">surrogate instrument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has no effect on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but is associated with an unmeasured causal instrument</w:t>
      </w:r>
      <w:r>
        <w:t xml:space="preserve"> </w:t>
      </w:r>
      <m:oMath>
        <m:sSub>
          <m:e>
            <m:r>
              <m:t>U</m:t>
            </m:r>
          </m:e>
          <m:sub>
            <m:r>
              <m:t>Z</m:t>
            </m:r>
          </m:sub>
        </m:sSub>
      </m:oMath>
      <w:r>
        <w:t xml:space="preserve"> </w:t>
      </w:r>
      <w:r>
        <w:t xml:space="preserve">(Figure 16.2).</w:t>
      </w:r>
      <w:r>
        <w:t xml:space="preserve"> </w:t>
      </w:r>
      <w:r>
        <w:t xml:space="preserve">Condition (i) then holds through the shared cause</w:t>
      </w:r>
      <w:r>
        <w:t xml:space="preserve"> </w:t>
      </w:r>
      <m:oMath>
        <m:sSub>
          <m:e>
            <m:r>
              <m:t>U</m:t>
            </m:r>
          </m:e>
          <m:sub>
            <m:r>
              <m:t>Z</m:t>
            </m:r>
          </m:sub>
        </m:sSub>
      </m:oMath>
      <w:r>
        <w:t xml:space="preserve">, and (iii) becomes</w:t>
      </w:r>
      <w:r>
        <w:t xml:space="preserve"> </w:t>
      </w:r>
      <w:r>
        <w:t xml:space="preserve">“</w:t>
      </w:r>
      <m:oMath>
        <m:r>
          <m:t>Z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share no causes other than</w:t>
      </w:r>
      <w:r>
        <w:t xml:space="preserve"> </w:t>
      </w:r>
      <m:oMath>
        <m:sSub>
          <m:e>
            <m:r>
              <m:t>U</m:t>
            </m:r>
          </m:e>
          <m:sub>
            <m:r>
              <m:t>Z</m:t>
            </m:r>
          </m:sub>
        </m:sSub>
      </m:oMath>
      <w:r>
        <w:t xml:space="preserve">.”</w:t>
      </w:r>
    </w:p>
    <w:p>
      <w:pPr>
        <w:pStyle w:val="FirstParagraph"/>
      </w:pPr>
      <w:r>
        <w:t xml:space="preserve">In the book’s Figure 16.2,</w:t>
      </w:r>
      <w:r>
        <w:t xml:space="preserve"> </w:t>
      </w:r>
      <m:oMath>
        <m:sSub>
          <m:e>
            <m:r>
              <m:t>U</m:t>
            </m:r>
          </m:e>
          <m:sub>
            <m:r>
              <m:t>Z</m:t>
            </m:r>
          </m:sub>
        </m:sSub>
        <m:r>
          <m:rPr>
            <m:sty m:val="p"/>
          </m:rPr>
          <m:t>→</m:t>
        </m:r>
        <m:r>
          <m:t>Z</m:t>
        </m:r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U</m:t>
            </m:r>
          </m:e>
          <m:sub>
            <m:r>
              <m:t>Z</m:t>
            </m:r>
          </m:sub>
        </m:sSub>
        <m:r>
          <m:rPr>
            <m:sty m:val="p"/>
          </m:rPr>
          <m:t>→</m:t>
        </m:r>
        <m:r>
          <m:t>A</m:t>
        </m:r>
        <m:r>
          <m:rPr>
            <m:sty m:val="p"/>
          </m:rPr>
          <m:t>→</m:t>
        </m:r>
        <m:r>
          <m:t>Y</m:t>
        </m:r>
      </m:oMath>
      <w:r>
        <w:t xml:space="preserve">, with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a common cause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.</w:t>
      </w:r>
    </w:p>
    <w:p>
      <w:pPr>
        <w:pStyle w:val="BodyText"/>
      </w:pPr>
      <w:r>
        <w:t xml:space="preserve">Both kinds of instrument can be used for IV estimation, with caveats discussed in Section 16.4.</w:t>
      </w:r>
      <w:r>
        <w:t xml:space="preserve"> </w:t>
      </w:r>
      <w:r>
        <w:t xml:space="preserve">The book’s Figure 16.3 shows a more unusual surrogate instrument: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U</m:t>
            </m:r>
          </m:e>
          <m:sub>
            <m:r>
              <m:t>Z</m:t>
            </m:r>
          </m:sub>
        </m:sSub>
      </m:oMath>
      <w:r>
        <w:t xml:space="preserve"> </w:t>
      </w:r>
      <w:r>
        <w:t xml:space="preserve">become associated because the analysis is restricted to a selected population, i.e., conditions on a common effect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of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U</m:t>
            </m:r>
          </m:e>
          <m:sub>
            <m:r>
              <m:t>Z</m:t>
            </m:r>
          </m:sub>
        </m:sSub>
      </m:oMath>
      <w:r>
        <w:t xml:space="preserve"> </w:t>
      </w:r>
      <w:r>
        <w:t xml:space="preserve">(Hernán and Robins 2020, 210)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End w:id="14"/>
    <w:bookmarkStart w:id="17" w:name="a-candidate-instrument-in-nhefs"/>
    <w:p>
      <w:pPr>
        <w:pStyle w:val="Heading3"/>
      </w:pPr>
      <w:r>
        <w:t xml:space="preserve">1.3 A Candidate Instrument in NHEFS</w:t>
      </w:r>
    </w:p>
    <w:p>
      <w:pPr>
        <w:pStyle w:val="FirstParagraph"/>
      </w:pPr>
      <w:r>
        <w:t xml:space="preserve">To estimate the effect of smoking cessation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on weight gain</w:t>
      </w:r>
      <w:r>
        <w:t xml:space="preserve"> </w:t>
      </w:r>
      <m:oMath>
        <m:r>
          <m:t>Y</m:t>
        </m:r>
      </m:oMath>
      <w:r>
        <w:t xml:space="preserve">, the book proposes</w:t>
      </w:r>
      <w:r>
        <w:t xml:space="preserve"> </w:t>
      </w:r>
      <m:oMath>
        <m:r>
          <m:t>Z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if the average price of a pack of cigarettes in the individual’s U.S. state of birth was greater than $1.50, and</w:t>
      </w:r>
      <w:r>
        <w:t xml:space="preserve"> </w:t>
      </w:r>
      <m:oMath>
        <m:r>
          <m:t>Z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otherwise</w:t>
      </w:r>
      <w:r>
        <w:t xml:space="preserve"> </w:t>
      </w:r>
      <w:r>
        <w:t xml:space="preserve">(Hernán and Robins 2020, 210)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Condition (i) is the only one that can be checked: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A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Z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t>25.8</m:t>
        </m:r>
        <m:r>
          <m:rPr>
            <m:sty m:val="p"/>
          </m:rPr>
          <m:t>%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A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Z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t>19.5</m:t>
        </m:r>
        <m:r>
          <m:rPr>
            <m:sty m:val="p"/>
          </m:rPr>
          <m:t>%</m:t>
        </m:r>
      </m:oMath>
      <w:r>
        <w:t xml:space="preserve">,</w:t>
      </w:r>
      <w:r>
        <w:t xml:space="preserve"> </w:t>
      </w:r>
      <w:r>
        <w:t xml:space="preserve">a risk difference of about 6%.</w:t>
      </w:r>
      <w:r>
        <w:t xml:space="preserve"> </w:t>
      </w:r>
      <w:r>
        <w:t xml:space="preserve">So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is a</w:t>
      </w:r>
      <w:r>
        <w:t xml:space="preserve"> </w:t>
      </w:r>
      <w:r>
        <w:rPr>
          <w:b/>
          <w:bCs/>
        </w:rPr>
        <w:t xml:space="preserve">weak instrument</w:t>
      </w:r>
      <w:r>
        <w:t xml:space="preserve"> </w:t>
      </w:r>
      <w:r>
        <w:t xml:space="preserve">(Section 16.5).</w:t>
      </w:r>
    </w:p>
    <w:p>
      <w:pPr>
        <w:pStyle w:val="Compact"/>
        <w:numPr>
          <w:ilvl w:val="0"/>
          <w:numId w:val="1005"/>
        </w:numPr>
      </w:pPr>
      <w:r>
        <w:t xml:space="preserve">Conditions (ii) and (iii) cannot be verified.</w:t>
      </w:r>
      <w:r>
        <w:t xml:space="preserve"> </w:t>
      </w:r>
      <w:r>
        <w:t xml:space="preserve">Conditioning on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does not help: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is a collider on</w:t>
      </w:r>
      <w:r>
        <w:t xml:space="preserve"> </w:t>
      </w:r>
      <m:oMath>
        <m:r>
          <m:t>Z</m:t>
        </m:r>
        <m:r>
          <m:rPr>
            <m:sty m:val="p"/>
          </m:rPr>
          <m:t>←</m:t>
        </m:r>
        <m:sSub>
          <m:e>
            <m:r>
              <m:t>U</m:t>
            </m:r>
          </m:e>
          <m:sub>
            <m:r>
              <m:t>Z</m:t>
            </m:r>
          </m:sub>
        </m:sSub>
        <m:r>
          <m:rPr>
            <m:sty m:val="p"/>
          </m:rPr>
          <m:t>→</m:t>
        </m:r>
        <m:r>
          <m:t>A</m:t>
        </m:r>
        <m:r>
          <m:rPr>
            <m:sty m:val="p"/>
          </m:rPr>
          <m:t>←</m:t>
        </m:r>
        <m:r>
          <m:t>U</m:t>
        </m:r>
        <m:r>
          <m:rPr>
            <m:sty m:val="p"/>
          </m:rPr>
          <m:t>→</m:t>
        </m:r>
        <m:r>
          <m:t>Y</m:t>
        </m:r>
      </m:oMath>
      <w:r>
        <w:t xml:space="preserve">.</w:t>
      </w:r>
    </w:p>
    <w:p>
      <w:pPr>
        <w:pStyle w:val="FirstParagraph"/>
      </w:pPr>
      <w:r>
        <w:t xml:space="preserve">“Price in state of birth”</w:t>
      </w:r>
      <w:r>
        <w:t xml:space="preserve"> </w:t>
      </w:r>
      <w:r>
        <w:t xml:space="preserve">would meet condition (i) through the unmeasured causal instrument</w:t>
      </w:r>
      <w:r>
        <w:t xml:space="preserve"> </w:t>
      </w:r>
      <m:oMath>
        <m:sSub>
          <m:e>
            <m:r>
              <m:t>U</m:t>
            </m:r>
          </m:e>
          <m:sub>
            <m:r>
              <m:t>Z</m:t>
            </m:r>
          </m:sub>
        </m:sSub>
      </m:oMath>
      <w:r>
        <w:t xml:space="preserve"> </w:t>
      </w:r>
      <w:r>
        <w:t xml:space="preserve">“price in place of residence”</w:t>
      </w:r>
      <w:r>
        <w:t xml:space="preserve">, so it is a surrogate instrument</w:t>
      </w:r>
      <w:r>
        <w:t xml:space="preserve"> </w:t>
      </w:r>
      <w:r>
        <w:t xml:space="preserve">(Hernán and Robins 2020, 210)</w:t>
      </w:r>
      <w:r>
        <w:t xml:space="preserve">.</w:t>
      </w:r>
    </w:p>
    <w:p>
      <w:pPr>
        <w:pStyle w:val="BodyText"/>
      </w:pPr>
      <w:r>
        <w:t xml:space="preserve">Because only (i) is checkable, the book calls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proposed</w:t>
      </w:r>
      <w:r>
        <w:t xml:space="preserve"> </w:t>
      </w:r>
      <w:r>
        <w:t xml:space="preserve">or</w:t>
      </w:r>
      <w:r>
        <w:t xml:space="preserve"> </w:t>
      </w:r>
      <w:r>
        <w:rPr>
          <w:b/>
          <w:bCs/>
        </w:rPr>
        <w:t xml:space="preserve">candidate</w:t>
      </w:r>
      <w:r>
        <w:t xml:space="preserve"> </w:t>
      </w:r>
      <w:r>
        <w:t xml:space="preserve">instrument:</w:t>
      </w:r>
      <w:r>
        <w:t xml:space="preserve"> </w:t>
      </w:r>
      <w:r>
        <w:t xml:space="preserve">we argue for (ii) and (iii) with subject-matter knowledge, just as we argue for the identifying assumptions of other methods.</w:t>
      </w:r>
      <w:r>
        <w:t xml:space="preserve"> </w:t>
      </w:r>
      <w:r>
        <w:t xml:space="preserve">Falsification tests exist that use data on</w:t>
      </w:r>
      <w:r>
        <w:t xml:space="preserve"> </w:t>
      </w:r>
      <m:oMath>
        <m:r>
          <m:t>Z</m:t>
        </m:r>
      </m:oMath>
      <w:r>
        <w:t xml:space="preserve">,</w:t>
      </w:r>
      <w:r>
        <w:t xml:space="preserve"> </w:t>
      </w:r>
      <m:oMath>
        <m:r>
          <m:t>A</m:t>
        </m:r>
      </m:oMath>
      <w:r>
        <w:t xml:space="preserve">, and</w:t>
      </w:r>
      <w:r>
        <w:t xml:space="preserve"> </w:t>
      </w:r>
      <m:oMath>
        <m:r>
          <m:t>Y</m:t>
        </m:r>
      </m:oMath>
      <w:r>
        <w:t xml:space="preserve">,</w:t>
      </w:r>
      <w:r>
        <w:t xml:space="preserve"> </w:t>
      </w:r>
      <w:r>
        <w:t xml:space="preserve">but they can reject only a small subset of violations,</w:t>
      </w:r>
      <w:r>
        <w:t xml:space="preserve"> </w:t>
      </w:r>
      <w:r>
        <w:t xml:space="preserve">and for most violations they have no power at any sample size</w:t>
      </w:r>
      <w:r>
        <w:t xml:space="preserve"> </w:t>
      </w:r>
      <w:r>
        <w:t xml:space="preserve">(Hernán and Robins 2020, 211)</w:t>
      </w:r>
      <w:r>
        <w:t xml:space="preserve">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5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16.1: Candidate Instruments in Observational Studies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Three common categories</w:t>
            </w:r>
            <w:r>
              <w:t xml:space="preserve"> </w:t>
            </w:r>
            <w:r>
              <w:t xml:space="preserve">(Hernán and Robins 2020, 211)</w:t>
            </w:r>
            <w:r>
              <w:t xml:space="preserve">:</w:t>
            </w:r>
          </w:p>
          <w:p>
            <w:pPr>
              <w:pStyle w:val="Compact"/>
              <w:numPr>
                <w:ilvl w:val="0"/>
                <w:numId w:val="1006"/>
              </w:numPr>
            </w:pPr>
            <w:r>
              <w:rPr>
                <w:b/>
                <w:bCs/>
              </w:rPr>
              <w:t xml:space="preserve">Genetic factors</w:t>
            </w:r>
            <w:r>
              <w:t xml:space="preserve">: a genetic variant associated with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 assumed to affect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only through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</w:t>
            </w:r>
            <w:r>
              <w:t xml:space="preserve"> </w:t>
            </w:r>
            <w:r>
              <w:t xml:space="preserve">e.g., a polymorphism affecting alcohol metabolism (such as ALDH2 in Asian populations) for the effect of alcohol on coronary heart disease.</w:t>
            </w:r>
            <w:r>
              <w:t xml:space="preserve"> </w:t>
            </w:r>
            <w:r>
              <w:t xml:space="preserve">This is the framework of</w:t>
            </w:r>
            <w:r>
              <w:t xml:space="preserve"> </w:t>
            </w:r>
            <w:r>
              <w:rPr>
                <w:b/>
                <w:bCs/>
              </w:rPr>
              <w:t xml:space="preserve">Mendelian randomization</w:t>
            </w:r>
            <w:r>
              <w:t xml:space="preserve">.</w:t>
            </w:r>
          </w:p>
          <w:p>
            <w:pPr>
              <w:pStyle w:val="Compact"/>
              <w:numPr>
                <w:ilvl w:val="0"/>
                <w:numId w:val="1006"/>
              </w:numPr>
            </w:pPr>
            <w:r>
              <w:rPr>
                <w:b/>
                <w:bCs/>
              </w:rPr>
              <w:t xml:space="preserve">Preference</w:t>
            </w:r>
            <w:r>
              <w:t xml:space="preserve">: a physician’s preference for one treatment over another.</w:t>
            </w:r>
            <w:r>
              <w:t xml:space="preserve"> </w:t>
            </w:r>
            <w:r>
              <w:t xml:space="preserve">Preference itself (</w:t>
            </w:r>
            <m:oMath>
              <m:sSub>
                <m:e>
                  <m:r>
                    <m:t>U</m:t>
                  </m:r>
                </m:e>
                <m:sub>
                  <m:r>
                    <m:t>Z</m:t>
                  </m:r>
                </m:sub>
              </m:sSub>
            </m:oMath>
            <w:r>
              <w:t xml:space="preserve">) is unmeasured, so a surrogate such as</w:t>
            </w:r>
            <w:r>
              <w:t xml:space="preserve"> </w:t>
            </w:r>
            <w:r>
              <w:t xml:space="preserve">“last prescription the physician issued before the current one”</w:t>
            </w:r>
            <w:r>
              <w:t xml:space="preserve"> </w:t>
            </w:r>
            <w:r>
              <w:t xml:space="preserve">is used.</w:t>
            </w:r>
          </w:p>
          <w:p>
            <w:pPr>
              <w:pStyle w:val="Compact"/>
              <w:numPr>
                <w:ilvl w:val="0"/>
                <w:numId w:val="1006"/>
              </w:numPr>
            </w:pPr>
            <w:r>
              <w:rPr>
                <w:b/>
                <w:bCs/>
              </w:rPr>
              <w:t xml:space="preserve">Access</w:t>
            </w:r>
            <w:r>
              <w:t xml:space="preserve">: distance or travel time to a facility, calendar period when access changed over time, or the price of treatment (the book’s example).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bookmarkEnd w:id="17"/>
    <w:bookmarkStart w:id="20" w:name="what-an-instrument-alone-buys-bounds"/>
    <w:p>
      <w:pPr>
        <w:pStyle w:val="Heading3"/>
      </w:pPr>
      <w:r>
        <w:t xml:space="preserve">1.4 What an Instrument Alone Buys: Bounds</w:t>
      </w:r>
    </w:p>
    <w:p>
      <w:pPr>
        <w:pStyle w:val="FirstParagraph"/>
      </w:pPr>
      <w:r>
        <w:t xml:space="preserve">Under conditions (i)-(iii) alone, the average causal effect is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point identified;</w:t>
      </w:r>
      <w:r>
        <w:t xml:space="preserve"> </w:t>
      </w:r>
      <w:r>
        <w:t xml:space="preserve">only upper and lower bounds are, and they are typically wide and often include the null</w:t>
      </w:r>
      <w:r>
        <w:t xml:space="preserve"> </w:t>
      </w:r>
      <w:r>
        <w:t xml:space="preserve">(Hernán and Robins 2020, 212)</w:t>
      </w:r>
      <w:r>
        <w:t xml:space="preserve">.</w:t>
      </w:r>
      <w:r>
        <w:t xml:space="preserve"> </w:t>
      </w:r>
      <w:r>
        <w:t xml:space="preserve">In the smoking example, the bounds would only say that quitting can cause weight gain, weight loss, or no change.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8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16.2: Partial Identification (Bounds)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For a dichotomous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lies a priori in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)</m:t>
              </m:r>
            </m:oMath>
            <w:r>
              <w:t xml:space="preserve">, an interval of width 2.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rPr>
                <w:b/>
                <w:bCs/>
              </w:rPr>
              <w:t xml:space="preserve">Data alone</w:t>
            </w:r>
            <w:r>
              <w:t xml:space="preserve">: assigning each individual’s unobserved counterfactual its most extreme possible value halves the width,</w:t>
            </w:r>
            <w:r>
              <w:t xml:space="preserve"> </w:t>
            </w:r>
            <w:r>
              <w:t xml:space="preserve">but the bounds still include 0.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rPr>
                <w:b/>
                <w:bCs/>
              </w:rPr>
              <w:t xml:space="preserve">Natural bounds</w:t>
            </w:r>
            <w:r>
              <w:t xml:space="preserve"> </w:t>
            </w:r>
            <w:r>
              <w:t xml:space="preserve">(instrumental condition (ii) at the population level plus marginal exchangeability (iii)):</w:t>
            </w:r>
            <w:r>
              <w:t xml:space="preserve"> </w:t>
            </w:r>
            <w:r>
              <w:t xml:space="preserve">width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Z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r>
                <m:t>Z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rPr>
                <w:b/>
                <w:bCs/>
              </w:rPr>
              <w:t xml:space="preserve">Sharp bounds</w:t>
            </w:r>
            <w:r>
              <w:t xml:space="preserve">: narrower still, under joint exchangeability.</w:t>
            </w:r>
          </w:p>
          <w:p>
            <w:pPr>
              <w:pStyle w:val="FirstParagraph"/>
            </w:pPr>
            <w:pPr>
              <w:spacing w:after="16"/>
            </w:pPr>
            <w:r>
              <w:t xml:space="preserve">These bounds are often too wide to be informative.</w:t>
            </w:r>
            <w:r>
              <w:t xml:space="preserve"> </w:t>
            </w:r>
            <w:r>
              <w:t xml:space="preserve">Sufficiently strong parametric assumptions about the effect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(Section 16.2 onward) collapse them to a single number</w:t>
            </w:r>
            <w:r>
              <w:t xml:space="preserve"> </w:t>
            </w:r>
            <w:r>
              <w:t xml:space="preserve">(Hernán and Robins 2020, 212)</w:t>
            </w:r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Why the data alone halve the width:</w:t>
      </w:r>
      <w:r>
        <w:t xml:space="preserve"> </w:t>
      </w:r>
      <w:r>
        <w:t xml:space="preserve">for a dichotomous</w:t>
      </w:r>
      <w:r>
        <w:t xml:space="preserve"> </w:t>
      </w:r>
      <m:oMath>
        <m:r>
          <m:t>Y</m:t>
        </m:r>
      </m:oMath>
      <w:r>
        <w:t xml:space="preserve">, each individual contributes one observed counterfactual,</w:t>
      </w:r>
      <w:r>
        <w:t xml:space="preserve"> </w:t>
      </w:r>
      <w:r>
        <w:t xml:space="preserve">so only the unobserved half of each individual’s pair is unknown.</w:t>
      </w:r>
      <w:r>
        <w:t xml:space="preserve"> </w:t>
      </w:r>
      <w:r>
        <w:t xml:space="preserve">For a continuous</w:t>
      </w:r>
      <w:r>
        <w:t xml:space="preserve"> </w:t>
      </w:r>
      <m:oMath>
        <m:r>
          <m:t>Y</m:t>
        </m:r>
      </m:oMath>
      <w:r>
        <w:t xml:space="preserve">, bounds require choosing a minimum and maximum possible outcome, and their width depends on that choice</w:t>
      </w:r>
      <w:r>
        <w:t xml:space="preserve"> </w:t>
      </w:r>
      <w:r>
        <w:t xml:space="preserve">(Hernán and Robins 2020, 212)</w:t>
      </w:r>
      <w:r>
        <w:t xml:space="preserve">.</w:t>
      </w:r>
    </w:p>
    <w:bookmarkEnd w:id="20"/>
    <w:bookmarkEnd w:id="21"/>
    <w:bookmarkStart w:id="26" w:name="the-usual-iv-estimand-pp.-212-214"/>
    <w:p>
      <w:pPr>
        <w:pStyle w:val="Heading2"/>
      </w:pPr>
      <w:r>
        <w:t xml:space="preserve">2 16.2 The Usual IV Estimand (pp. 212-214)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For a dichotomous instrument meeting (i)-(iii), plus a condition (iv) described in Section 16.3,</w:t>
      </w:r>
      <w:r>
        <w:t xml:space="preserve"> </w:t>
      </w:r>
      <w:r>
        <w:t xml:space="preserve">the average causal effect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</m:e>
        </m:d>
        <m:r>
          <m:t>​</m:t>
        </m:r>
        <m:r>
          <m:rPr>
            <m:sty m:val="p"/>
          </m:rPr>
          <m:t>−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</m:e>
        </m:d>
        <m:r>
          <m:t>​</m:t>
        </m:r>
      </m:oMath>
      <w:r>
        <w:t xml:space="preserve"> </w:t>
      </w:r>
      <w:r>
        <w:t xml:space="preserve">is identified and equals the</w:t>
      </w:r>
      <w:r>
        <w:t xml:space="preserve"> </w:t>
      </w:r>
      <w:r>
        <w:rPr>
          <w:b/>
          <w:bCs/>
        </w:rPr>
        <w:t xml:space="preserve">usual IV estimand</w:t>
      </w:r>
    </w:p>
    <w:p>
      <w:pPr>
        <w:pStyle w:val="BodyText"/>
      </w:pPr>
      <m:oMathPara>
        <m:oMathParaPr>
          <m:jc m:val="center"/>
        </m:oMathParaPr>
        <m:oMath>
          <m:f>
            <m:fPr>
              <m:type m:val="bar"/>
            </m:fPr>
            <m:num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Z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Z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e>
              </m:d>
              <m:r>
                <m:t>​</m:t>
              </m:r>
            </m:num>
            <m:den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A</m:t>
                  </m:r>
                  <m:r>
                    <m:rPr>
                      <m:sty m:val="p"/>
                    </m:rPr>
                    <m:t>∣</m:t>
                  </m:r>
                  <m:r>
                    <m:t>Z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A</m:t>
                  </m:r>
                  <m:r>
                    <m:rPr>
                      <m:sty m:val="p"/>
                    </m:rPr>
                    <m:t>∣</m:t>
                  </m:r>
                  <m:r>
                    <m:t>Z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e>
              </m:d>
              <m:r>
                <m:t>​</m:t>
              </m:r>
            </m:den>
          </m:f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For a dichotomous treatment,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A</m:t>
            </m:r>
            <m:r>
              <m:rPr>
                <m:sty m:val="p"/>
              </m:rPr>
              <m:t>∣</m:t>
            </m:r>
            <m:r>
              <m:t>Z</m:t>
            </m:r>
            <m:r>
              <m:rPr>
                <m:sty m:val="p"/>
              </m:rPr>
              <m:t>=</m:t>
            </m:r>
            <m:r>
              <m:t>z</m:t>
            </m:r>
          </m:e>
        </m:d>
        <m:r>
          <m:t>​</m:t>
        </m:r>
        <m:r>
          <m:rPr>
            <m:sty m:val="p"/>
          </m:rPr>
          <m:t>=</m:t>
        </m:r>
        <m:r>
          <m:rPr>
            <m:sty m:val="p"/>
          </m:rPr>
          <m:t>Pr</m:t>
        </m:r>
        <m:r>
          <m:rPr>
            <m:sty m:val="p"/>
          </m:rPr>
          <m:t>[</m:t>
        </m:r>
        <m:r>
          <m:t>A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Z</m:t>
        </m:r>
        <m:r>
          <m:rPr>
            <m:sty m:val="p"/>
          </m:rPr>
          <m:t>=</m:t>
        </m:r>
        <m:r>
          <m:t>z</m:t>
        </m:r>
        <m:r>
          <m:rPr>
            <m:sty m:val="p"/>
          </m:rPr>
          <m:t>]</m:t>
        </m:r>
      </m:oMath>
      <w:r>
        <w:t xml:space="preserve">.</w:t>
      </w:r>
      <w:r>
        <w:t xml:space="preserve"> </w:t>
      </w:r>
      <w:r>
        <w:t xml:space="preserve">For a continuous instrument, the usual IV estimand is</w:t>
      </w:r>
      <w:r>
        <w:t xml:space="preserve"> </w:t>
      </w:r>
      <m:oMath>
        <m:r>
          <m:rPr>
            <m:sty m:val="p"/>
          </m:rPr>
          <m:t>Cov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Y</m:t>
            </m:r>
            <m:r>
              <m:rPr>
                <m:sty m:val="p"/>
              </m:rPr>
              <m:t>,</m:t>
            </m:r>
            <m:r>
              <m:t>Z</m:t>
            </m:r>
          </m:e>
        </m:d>
        <m:r>
          <m:t>​</m:t>
        </m:r>
        <m:r>
          <m:rPr>
            <m:sty m:val="p"/>
          </m:rPr>
          <m:t>/</m:t>
        </m:r>
        <m:r>
          <m:rPr>
            <m:sty m:val="p"/>
          </m:rPr>
          <m:t>Cov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A</m:t>
            </m:r>
            <m:r>
              <m:rPr>
                <m:sty m:val="p"/>
              </m:rPr>
              <m:t>,</m:t>
            </m:r>
            <m:r>
              <m:t>Z</m:t>
            </m:r>
          </m:e>
        </m:d>
        <m:r>
          <m:t>​</m:t>
        </m:r>
      </m:oMath>
      <w:r>
        <w:t xml:space="preserve"> </w:t>
      </w:r>
      <w:r>
        <w:t xml:space="preserve">(Hernán and Robins 2020, 213)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Start w:id="23" w:name="intuition-from-the-randomized-trial"/>
    <w:p>
      <w:pPr>
        <w:pStyle w:val="Heading3"/>
      </w:pPr>
      <w:r>
        <w:t xml:space="preserve">2.1 Intuition from the Randomized Trial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Numerator</w:t>
      </w:r>
      <w:r>
        <w:t xml:space="preserve">: the effect of assignment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on</w:t>
      </w:r>
      <w:r>
        <w:t xml:space="preserve"> </w:t>
      </w:r>
      <m:oMath>
        <m:r>
          <m:t>Y</m:t>
        </m:r>
      </m:oMath>
      <w:r>
        <w:t xml:space="preserve">, the</w:t>
      </w:r>
      <w:r>
        <w:t xml:space="preserve"> </w:t>
      </w:r>
      <w:r>
        <w:rPr>
          <w:b/>
          <w:bCs/>
        </w:rPr>
        <w:t xml:space="preserve">intention-to-treat effect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Denominator</w:t>
      </w:r>
      <w:r>
        <w:t xml:space="preserve">: the effect of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on</w:t>
      </w:r>
      <w:r>
        <w:t xml:space="preserve"> </w:t>
      </w:r>
      <m:oMath>
        <m:r>
          <m:t>A</m:t>
        </m:r>
      </m:oMath>
      <w:r>
        <w:t xml:space="preserve">, a measure of</w:t>
      </w:r>
      <w:r>
        <w:t xml:space="preserve"> </w:t>
      </w:r>
      <w:r>
        <w:rPr>
          <w:b/>
          <w:bCs/>
        </w:rPr>
        <w:t xml:space="preserve">adherence</w:t>
      </w:r>
      <w:r>
        <w:t xml:space="preserve">.</w:t>
      </w:r>
    </w:p>
    <w:p>
      <w:pPr>
        <w:pStyle w:val="FirstParagraph"/>
      </w:pPr>
      <w:r>
        <w:t xml:space="preserve">Both can be estimated without adjustment because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is randomized.</w:t>
      </w:r>
      <w:r>
        <w:t xml:space="preserve"> </w:t>
      </w:r>
      <w:r>
        <w:t xml:space="preserve">With perfect adherence the denominator is 1 and the IV estimand equals the intention-to-treat effect;</w:t>
      </w:r>
      <w:r>
        <w:t xml:space="preserve"> </w:t>
      </w:r>
      <w:r>
        <w:t xml:space="preserve">as adherence worsens the denominator approaches 0 and the IV estimand is increasingly inflated relative to the intention-to-treat effect.</w:t>
      </w:r>
    </w:p>
    <w:p>
      <w:pPr>
        <w:pStyle w:val="BodyText"/>
      </w:pPr>
      <w:r>
        <w:t xml:space="preserve">So the IV estimand avoids adjusting for confounders by</w:t>
      </w:r>
      <w:r>
        <w:t xml:space="preserve"> </w:t>
      </w:r>
      <w:r>
        <w:rPr>
          <w:b/>
          <w:bCs/>
        </w:rPr>
        <w:t xml:space="preserve">inflating</w:t>
      </w:r>
      <w:r>
        <w:t xml:space="preserve"> </w:t>
      </w:r>
      <w:r>
        <w:t xml:space="preserve">the effect of assignment.</w:t>
      </w:r>
      <w:r>
        <w:t xml:space="preserve"> </w:t>
      </w:r>
      <w:r>
        <w:t xml:space="preserve">In observational studies the denominator is the effect of a causal instrument on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(Figure 16.1),</w:t>
      </w:r>
      <w:r>
        <w:t xml:space="preserve"> </w:t>
      </w:r>
      <w:r>
        <w:t xml:space="preserve">or the noncausal association between a surrogate instrument and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(Figures 16.2 and 16.3)</w:t>
      </w:r>
      <w:r>
        <w:t xml:space="preserve"> </w:t>
      </w:r>
      <w:r>
        <w:t xml:space="preserve">(Hernán and Robins 2020, 213)</w:t>
      </w:r>
      <w:r>
        <w:t xml:space="preserve">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2" w:name="exm-nhefs-iv"/>
          <w:p>
            <w:pPr>
              <w:pStyle w:val="BodyText"/>
            </w:pPr>
            <w:r>
              <w:rPr>
                <w:b/>
                <w:bCs/>
              </w:rPr>
              <w:t xml:space="preserve">Example 1 (Usual IV Estimate in NHEFS)</w:t>
            </w:r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 </w:t>
            </w:r>
            <w:r>
              <w:t xml:space="preserve">= 1 for a state with high cigarette price</w:t>
            </w:r>
            <w:r>
              <w:t xml:space="preserve"> </w:t>
            </w:r>
            <w:r>
              <w:t xml:space="preserve">(Hernán and Robins 2020, 213)</w:t>
            </w:r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/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/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2.686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2.536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0.1503</m:t>
                    </m:r>
                  </m:e>
                  <m:e>
                    <m:r>
                      <m:rPr>
                        <m:sty m:val="p"/>
                      </m:rPr>
                      <m:t/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A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/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A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0.2578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0.1951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0.0627</m:t>
                    </m:r>
                  </m:e>
                  <m:e>
                    <m:r>
                      <m:rPr>
                        <m:nor/>
                        <m:sty m:val="p"/>
                      </m:rPr>
                      <m:t>IV estimate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0.1503</m:t>
                        </m:r>
                      </m:num>
                      <m:den>
                        <m:r>
                          <m:t>0.0627</m:t>
                        </m:r>
                      </m:den>
                    </m:f>
                    <m:r>
                      <m:rPr>
                        <m:sty m:val="p"/>
                      </m:rPr>
                      <m:t>≈</m:t>
                    </m:r>
                    <m:r>
                      <m:t>2.4</m:t>
                    </m:r>
                    <m:r>
                      <m:rPr>
                        <m:nor/>
                        <m:sty m:val="p"/>
                      </m:rPr>
                      <m:t> kg</m:t>
                    </m:r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Under (i)-(iv), this estimates the average causal effect of smoking cessation on weight gain.</w:t>
            </w:r>
          </w:p>
          <w:bookmarkEnd w:id="22"/>
        </w:tc>
      </w:tr>
    </w:tbl>
    <w:p>
      <w:pPr>
        <w:pStyle w:val="BodyText"/>
      </w:pPr>
      <w:r>
        <w:t xml:space="preserve">The numerator difference is reported to four decimals (0.1503), presumably computed from unrounded means;</w:t>
      </w:r>
      <w:r>
        <w:t xml:space="preserve"> </w:t>
      </w:r>
      <w:r>
        <w:t xml:space="preserve">the rounded means shown give</w:t>
      </w:r>
      <w:r>
        <w:t xml:space="preserve"> </w:t>
      </w:r>
      <m:oMath>
        <m:r>
          <m:t>2.686</m:t>
        </m:r>
        <m:r>
          <m:rPr>
            <m:sty m:val="p"/>
          </m:rPr>
          <m:t>−</m:t>
        </m:r>
        <m:r>
          <m:t>2.536</m:t>
        </m:r>
        <m:r>
          <m:rPr>
            <m:sty m:val="p"/>
          </m:rPr>
          <m:t>=</m:t>
        </m:r>
        <m:r>
          <m:t>0.150</m:t>
        </m:r>
      </m:oMath>
      <w:r>
        <w:t xml:space="preserve">.</w:t>
      </w:r>
      <w:r>
        <w:t xml:space="preserve"> </w:t>
      </w:r>
      <w:r>
        <w:t xml:space="preserve">This ratio is also called the</w:t>
      </w:r>
      <w:r>
        <w:t xml:space="preserve"> </w:t>
      </w:r>
      <w:r>
        <w:rPr>
          <w:b/>
          <w:bCs/>
        </w:rPr>
        <w:t xml:space="preserve">Wald estimator</w:t>
      </w:r>
      <w:r>
        <w:t xml:space="preserve">.</w:t>
      </w:r>
      <w:r>
        <w:t xml:space="preserve"> </w:t>
      </w:r>
      <w:r>
        <w:t xml:space="preserve">The book excludes individuals with a missing outcome or instrument for simplicity;</w:t>
      </w:r>
      <w:r>
        <w:t xml:space="preserve"> </w:t>
      </w:r>
      <w:r>
        <w:t xml:space="preserve">in practice IP weighting could adjust for the resulting selection bias</w:t>
      </w:r>
      <w:r>
        <w:t xml:space="preserve"> </w:t>
      </w:r>
      <w:r>
        <w:t xml:space="preserve">(Hernán and Robins 2020, 213)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End w:id="23"/>
    <w:bookmarkStart w:id="24" w:name="two-stage-least-squares"/>
    <w:p>
      <w:pPr>
        <w:pStyle w:val="Heading3"/>
      </w:pPr>
      <w:r>
        <w:t xml:space="preserve">2.2 Two-Stage Least Squares</w:t>
      </w:r>
    </w:p>
    <w:p>
      <w:pPr>
        <w:pStyle w:val="FirstParagraph"/>
      </w:pPr>
      <w:r>
        <w:t xml:space="preserve">The same estimate can be computed with two saturated linear models,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A</m:t>
            </m:r>
            <m:r>
              <m:rPr>
                <m:sty m:val="p"/>
              </m:rPr>
              <m:t>∣</m:t>
            </m:r>
            <m:r>
              <m:t>Z</m:t>
            </m:r>
          </m:e>
        </m:d>
        <m:r>
          <m:t>​</m:t>
        </m:r>
        <m:r>
          <m:rPr>
            <m:sty m:val="p"/>
          </m:rPr>
          <m:t>=</m:t>
        </m:r>
        <m:sSub>
          <m:e>
            <m:r>
              <m:t>α</m:t>
            </m:r>
          </m:e>
          <m:sub>
            <m:r>
              <m:t>0</m:t>
            </m:r>
          </m:sub>
        </m:sSub>
        <m:r>
          <m:rPr>
            <m:sty m:val="p"/>
          </m:rPr>
          <m:t>+</m:t>
        </m:r>
        <m:sSub>
          <m:e>
            <m:r>
              <m:t>α</m:t>
            </m:r>
          </m:e>
          <m:sub>
            <m:r>
              <m:t>1</m:t>
            </m:r>
          </m:sub>
        </m:sSub>
        <m:r>
          <m:t>Z</m:t>
        </m:r>
      </m:oMath>
      <w:r>
        <w:t xml:space="preserve"> </w:t>
      </w:r>
      <w:r>
        <w:t xml:space="preserve">(denominator) and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∣</m:t>
            </m:r>
            <m:r>
              <m:t>Z</m:t>
            </m:r>
          </m:e>
        </m:d>
        <m:r>
          <m:t>​</m:t>
        </m:r>
        <m:r>
          <m:rPr>
            <m:sty m:val="p"/>
          </m:rPr>
          <m:t>=</m:t>
        </m:r>
        <m:sSub>
          <m:e>
            <m:r>
              <m:t>β</m:t>
            </m:r>
          </m:e>
          <m:sub>
            <m:r>
              <m:t>0</m:t>
            </m:r>
          </m:sub>
        </m:sSub>
        <m:r>
          <m:rPr>
            <m:sty m:val="p"/>
          </m:rPr>
          <m:t>+</m:t>
        </m:r>
        <m:sSub>
          <m:e>
            <m:r>
              <m:t>β</m:t>
            </m:r>
          </m:e>
          <m:sub>
            <m:r>
              <m:t>1</m:t>
            </m:r>
          </m:sub>
        </m:sSub>
        <m:r>
          <m:t>Z</m:t>
        </m:r>
      </m:oMath>
      <w:r>
        <w:t xml:space="preserve"> </w:t>
      </w:r>
      <w:r>
        <w:t xml:space="preserve">(numerator),</w:t>
      </w:r>
      <w:r>
        <w:t xml:space="preserve"> </w:t>
      </w:r>
      <w:r>
        <w:t xml:space="preserve">or by</w:t>
      </w:r>
      <w:r>
        <w:t xml:space="preserve"> </w:t>
      </w:r>
      <w:r>
        <w:rPr>
          <w:b/>
          <w:bCs/>
        </w:rPr>
        <w:t xml:space="preserve">two-stage least squares</w:t>
      </w:r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Fit the first-stage treatment model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A</m:t>
            </m:r>
            <m:r>
              <m:rPr>
                <m:sty m:val="p"/>
              </m:rPr>
              <m:t>∣</m:t>
            </m:r>
            <m:r>
              <m:t>Z</m:t>
            </m:r>
          </m:e>
        </m:d>
        <m:r>
          <m:t>​</m:t>
        </m:r>
        <m:r>
          <m:rPr>
            <m:sty m:val="p"/>
          </m:rPr>
          <m:t>=</m:t>
        </m:r>
        <m:sSub>
          <m:e>
            <m:r>
              <m:t>α</m:t>
            </m:r>
          </m:e>
          <m:sub>
            <m:r>
              <m:t>0</m:t>
            </m:r>
          </m:sub>
        </m:sSub>
        <m:r>
          <m:rPr>
            <m:sty m:val="p"/>
          </m:rPr>
          <m:t>+</m:t>
        </m:r>
        <m:sSub>
          <m:e>
            <m:r>
              <m:t>α</m:t>
            </m:r>
          </m:e>
          <m:sub>
            <m:r>
              <m:t>1</m:t>
            </m:r>
          </m:sub>
        </m:sSub>
        <m:r>
          <m:t>Z</m:t>
        </m:r>
      </m:oMath>
      <w:r>
        <w:t xml:space="preserve"> </w:t>
      </w:r>
      <w:r>
        <w:t xml:space="preserve">and compute predicted values</w:t>
      </w:r>
      <w:r>
        <w:t xml:space="preserve"> </w:t>
      </w:r>
      <m:oMath>
        <m:r>
          <m:rPr>
            <m:sty m:val="p"/>
          </m:rPr>
          <m:t/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A</m:t>
            </m:r>
            <m:r>
              <m:rPr>
                <m:sty m:val="p"/>
              </m:rPr>
              <m:t>∣</m:t>
            </m:r>
            <m:r>
              <m:t>Z</m:t>
            </m:r>
          </m:e>
        </m:d>
        <m:r>
          <m:t>​</m:t>
        </m:r>
      </m:oMath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Fit the second-stage outcome model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∣</m:t>
            </m:r>
            <m:r>
              <m:t>Z</m:t>
            </m:r>
          </m:e>
        </m:d>
        <m:r>
          <m:t>​</m:t>
        </m:r>
        <m:r>
          <m:rPr>
            <m:sty m:val="p"/>
          </m:rPr>
          <m:t>=</m:t>
        </m:r>
        <m:sSub>
          <m:e>
            <m:r>
              <m:t>β</m:t>
            </m:r>
          </m:e>
          <m:sub>
            <m:r>
              <m:t>0</m:t>
            </m:r>
          </m:sub>
        </m:sSub>
        <m:r>
          <m:rPr>
            <m:sty m:val="p"/>
          </m:rPr>
          <m:t>+</m:t>
        </m:r>
        <m:sSub>
          <m:e>
            <m:r>
              <m:t>β</m:t>
            </m:r>
          </m:e>
          <m:sub>
            <m:r>
              <m:t>1</m:t>
            </m:r>
          </m:sub>
        </m:sSub>
        <m:r>
          <m:rPr>
            <m:sty m:val="p"/>
          </m:rPr>
          <m:t/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A</m:t>
            </m:r>
            <m:r>
              <m:rPr>
                <m:sty m:val="p"/>
              </m:rPr>
              <m:t>∣</m:t>
            </m:r>
            <m:r>
              <m:t>Z</m:t>
            </m:r>
          </m:e>
        </m:d>
        <m:r>
          <m:t>​</m:t>
        </m:r>
      </m:oMath>
      <w:r>
        <w:t xml:space="preserve">.</w:t>
      </w:r>
    </w:p>
    <w:p>
      <w:pPr>
        <w:pStyle w:val="FirstParagraph"/>
      </w:pPr>
      <m:oMath>
        <m:sSub>
          <m:e>
            <m:acc>
              <m:accPr>
                <m:chr m:val="̂"/>
              </m:accPr>
              <m:e>
                <m:r>
                  <m:t>β</m:t>
                </m:r>
              </m:e>
            </m:acc>
          </m:e>
          <m:sub>
            <m:r>
              <m:t>1</m:t>
            </m:r>
          </m:sub>
        </m:sSub>
      </m:oMath>
      <w:r>
        <w:t xml:space="preserve"> </w:t>
      </w:r>
      <w:r>
        <w:t xml:space="preserve">always equals the standard IV estimate: again 2.4 kg</w:t>
      </w:r>
      <w:r>
        <w:t xml:space="preserve"> </w:t>
      </w:r>
      <w:r>
        <w:t xml:space="preserve">(Hernán and Robins 2020, 213)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End w:id="24"/>
    <w:bookmarkStart w:id="25" w:name="precision-and-weak-instruments"/>
    <w:p>
      <w:pPr>
        <w:pStyle w:val="Heading3"/>
      </w:pPr>
      <w:r>
        <w:t xml:space="preserve">2.3 Precision and Weak Instruments</w:t>
      </w:r>
    </w:p>
    <w:p>
      <w:pPr>
        <w:pStyle w:val="Compact"/>
        <w:numPr>
          <w:ilvl w:val="0"/>
          <w:numId w:val="1010"/>
        </w:numPr>
      </w:pPr>
      <w:r>
        <w:t xml:space="preserve">95% confidence interval:</w:t>
      </w:r>
      <w:r>
        <w:t xml:space="preserve"> </w:t>
      </w:r>
      <m:oMath>
        <m:r>
          <m:rPr>
            <m:sty m:val="p"/>
          </m:rPr>
          <m:t>−</m:t>
        </m:r>
        <m:r>
          <m:t>36.5</m:t>
        </m:r>
      </m:oMath>
      <w:r>
        <w:t xml:space="preserve"> </w:t>
      </w:r>
      <w:r>
        <w:t xml:space="preserve">to</w:t>
      </w:r>
      <w:r>
        <w:t xml:space="preserve"> </w:t>
      </w:r>
      <m:oMath>
        <m:r>
          <m:t>41.3</m:t>
        </m:r>
      </m:oMath>
      <w:r>
        <w:t xml:space="preserve"> </w:t>
      </w:r>
      <w:r>
        <w:t xml:space="preserve">kg.</w:t>
      </w:r>
    </w:p>
    <w:p>
      <w:pPr>
        <w:pStyle w:val="Compact"/>
        <w:numPr>
          <w:ilvl w:val="0"/>
          <w:numId w:val="1010"/>
        </w:numPr>
      </w:pPr>
      <w:r>
        <w:t xml:space="preserve">Rule of thumb: an instrument is</w:t>
      </w:r>
      <w:r>
        <w:t xml:space="preserve"> </w:t>
      </w:r>
      <w:r>
        <w:rPr>
          <w:b/>
          <w:bCs/>
        </w:rPr>
        <w:t xml:space="preserve">weak</w:t>
      </w:r>
      <w:r>
        <w:t xml:space="preserve"> </w:t>
      </w:r>
      <w:r>
        <w:t xml:space="preserve">if the first-stage F-statistic is below 10;</w:t>
      </w:r>
      <w:r>
        <w:t xml:space="preserve"> </w:t>
      </w:r>
      <w:r>
        <w:t xml:space="preserve">here it was 0.8</w:t>
      </w:r>
      <w:r>
        <w:t xml:space="preserve"> </w:t>
      </w:r>
      <w:r>
        <w:t xml:space="preserve">(Hernán and Robins 2020, 213–14)</w:t>
      </w:r>
      <w:r>
        <w:t xml:space="preserve">.</w:t>
      </w:r>
    </w:p>
    <w:p>
      <w:pPr>
        <w:pStyle w:val="FirstParagraph"/>
      </w:pPr>
      <w:r>
        <w:t xml:space="preserve">The assumptions implicit in two-stage least squares can be made explicit with additive or multiplicative</w:t>
      </w:r>
      <w:r>
        <w:t xml:space="preserve"> </w:t>
      </w:r>
      <w:r>
        <w:rPr>
          <w:b/>
          <w:bCs/>
        </w:rPr>
        <w:t xml:space="preserve">structural mean models</w:t>
      </w:r>
      <w:r>
        <w:t xml:space="preserve"> </w:t>
      </w:r>
      <w:r>
        <w:t xml:space="preserve">(Technical Points 16.3 and 16.4), whose parameters can be estimated by g-estimation.</w:t>
      </w:r>
      <w:r>
        <w:t xml:space="preserve"> </w:t>
      </w:r>
      <w:r>
        <w:t xml:space="preserve">When measured common causes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of the instrument and the outcome must be adjusted for,</w:t>
      </w:r>
      <w:r>
        <w:t xml:space="preserve"> </w:t>
      </w:r>
      <w:r>
        <w:t xml:space="preserve">choosing between two-stage least squares and structural mean models involves trade-offs similar to those between outcome regression and structural nested models (Chapters 14 and 15)</w:t>
      </w:r>
      <w:r>
        <w:t xml:space="preserve"> </w:t>
      </w:r>
      <w:r>
        <w:t xml:space="preserve">(Hernán and Robins 2020, 214)</w:t>
      </w:r>
      <w:r>
        <w:t xml:space="preserve">.</w:t>
      </w:r>
    </w:p>
    <w:p>
      <w:pPr>
        <w:pStyle w:val="BodyText"/>
      </w:pPr>
      <w:r>
        <w:t xml:space="preserve">All of these estimators estimate the average causal effect only if a fourth identifying condition holds.</w:t>
      </w:r>
    </w:p>
    <w:bookmarkEnd w:id="25"/>
    <w:bookmarkEnd w:id="26"/>
    <w:bookmarkStart w:id="36" w:name="Xc13069a048986a447707a73b89c2fdb9f108218"/>
    <w:p>
      <w:pPr>
        <w:pStyle w:val="Heading2"/>
      </w:pPr>
      <w:r>
        <w:t xml:space="preserve">3 16.3 A Fourth Identifying Condition: Homogeneity (pp. 214-217)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Conditions (i)-(iii) do not make the IV estimand equal the average causal effect.</w:t>
      </w:r>
      <w:r>
        <w:t xml:space="preserve"> </w:t>
      </w:r>
      <w:r>
        <w:t xml:space="preserve">A fourth condition,</w:t>
      </w:r>
      <w:r>
        <w:t xml:space="preserve"> </w:t>
      </w:r>
      <w:r>
        <w:rPr>
          <w:b/>
          <w:bCs/>
        </w:rPr>
        <w:t xml:space="preserve">effect homogeneity (iv)</w:t>
      </w:r>
      <w:r>
        <w:t xml:space="preserve">, is needed.</w:t>
      </w:r>
      <w:r>
        <w:t xml:space="preserve"> </w:t>
      </w:r>
      <w:r>
        <w:t xml:space="preserve">The book describes four versions, in order of historical appearance</w:t>
      </w:r>
      <w:r>
        <w:t xml:space="preserve"> </w:t>
      </w:r>
      <w:r>
        <w:t xml:space="preserve">(Hernán and Robins 2020, 214–16)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Constant effect</w:t>
      </w:r>
      <w:r>
        <w:t xml:space="preserve"> </w:t>
      </w:r>
      <w:r>
        <w:t xml:space="preserve">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on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for every individual (e.g., everyone gains exactly 2.4 kg).</w:t>
      </w:r>
      <w:r>
        <w:t xml:space="preserve"> </w:t>
      </w:r>
      <w:r>
        <w:t xml:space="preserve">This is additive rank preservation (Section 14.4): implausible for most treatments and impossible for dichotomous outcomes except under the sharp null or universal harm (or benefit).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Equal average effect across levels of</w:t>
      </w:r>
      <w:r>
        <w:rPr>
          <w:b/>
          <w:bCs/>
        </w:rPr>
        <w:t xml:space="preserve"> </w:t>
      </w:r>
      <m:oMath>
        <m:r>
          <m:t>Z</m:t>
        </m:r>
      </m:oMath>
      <w:r>
        <w:t xml:space="preserve"> </w:t>
      </w:r>
      <w:r>
        <w:t xml:space="preserve">among the treated and among the untreated: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  <m:r>
              <m:rPr>
                <m:sty m:val="p"/>
              </m:rPr>
              <m:t>−</m:t>
            </m:r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  <m:r>
              <m:rPr>
                <m:sty m:val="p"/>
              </m:rPr>
              <m:t>∣</m:t>
            </m:r>
            <m:r>
              <m:t>Z</m:t>
            </m:r>
            <m:r>
              <m:rPr>
                <m:sty m:val="p"/>
              </m:rPr>
              <m:t>=</m:t>
            </m:r>
            <m:r>
              <m:t>1</m:t>
            </m:r>
            <m:r>
              <m:rPr>
                <m:sty m:val="p"/>
              </m:rPr>
              <m:t>,</m:t>
            </m:r>
            <m:r>
              <m:t>A</m:t>
            </m:r>
            <m:r>
              <m:rPr>
                <m:sty m:val="p"/>
              </m:rPr>
              <m:t>=</m:t>
            </m:r>
            <m:r>
              <m:t>a</m:t>
            </m:r>
          </m:e>
        </m:d>
        <m:r>
          <m:t>​</m:t>
        </m:r>
        <m:r>
          <m:rPr>
            <m:sty m:val="p"/>
          </m:rPr>
          <m:t>=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  <m:r>
              <m:rPr>
                <m:sty m:val="p"/>
              </m:rPr>
              <m:t>−</m:t>
            </m:r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  <m:r>
              <m:rPr>
                <m:sty m:val="p"/>
              </m:rPr>
              <m:t>∣</m:t>
            </m:r>
            <m:r>
              <m:t>Z</m:t>
            </m:r>
            <m:r>
              <m:rPr>
                <m:sty m:val="p"/>
              </m:rPr>
              <m:t>=</m:t>
            </m:r>
            <m:r>
              <m:t>0</m:t>
            </m:r>
            <m:r>
              <m:rPr>
                <m:sty m:val="p"/>
              </m:rPr>
              <m:t>,</m:t>
            </m:r>
            <m:r>
              <m:t>A</m:t>
            </m:r>
            <m:r>
              <m:rPr>
                <m:sty m:val="p"/>
              </m:rPr>
              <m:t>=</m:t>
            </m:r>
            <m:r>
              <m:t>a</m:t>
            </m:r>
          </m:e>
        </m:d>
        <m:r>
          <m:t>​</m:t>
        </m:r>
      </m:oMath>
      <w:r>
        <w:t xml:space="preserve"> </w:t>
      </w:r>
      <w:r>
        <w:t xml:space="preserve">for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1</m:t>
        </m:r>
      </m:oMath>
      <w:r>
        <w:t xml:space="preserve">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No additive effect modification by</w:t>
      </w:r>
      <w:r>
        <w:rPr>
          <w:b/>
          <w:bCs/>
        </w:rPr>
        <w:t xml:space="preserve"> </w:t>
      </w:r>
      <m:oMath>
        <m:r>
          <m:t>U</m:t>
        </m:r>
      </m:oMath>
      <w:r>
        <w:t xml:space="preserve">: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  <m:r>
              <m:rPr>
                <m:sty m:val="p"/>
              </m:rPr>
              <m:t>∣</m:t>
            </m:r>
            <m:r>
              <m:t>U</m:t>
            </m:r>
          </m:e>
        </m:d>
        <m:r>
          <m:t>​</m:t>
        </m:r>
        <m:r>
          <m:rPr>
            <m:sty m:val="p"/>
          </m:rPr>
          <m:t>−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  <m:r>
              <m:rPr>
                <m:sty m:val="p"/>
              </m:rPr>
              <m:t>∣</m:t>
            </m:r>
            <m:r>
              <m:t>U</m:t>
            </m:r>
          </m:e>
        </m:d>
        <m:r>
          <m:t>​</m:t>
        </m:r>
        <m:r>
          <m:rPr>
            <m:sty m:val="p"/>
          </m:rPr>
          <m:t>=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</m:e>
        </m:d>
        <m:r>
          <m:t>​</m:t>
        </m:r>
        <m:r>
          <m:rPr>
            <m:sty m:val="p"/>
          </m:rPr>
          <m:t>−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</m:e>
        </m:d>
        <m:r>
          <m:t>​</m:t>
        </m:r>
      </m:oMath>
      <w:r>
        <w:t xml:space="preserve">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Constant</w:t>
      </w:r>
      <w:r>
        <w:rPr>
          <w:b/>
          <w:bCs/>
        </w:rPr>
        <w:t xml:space="preserve"> </w:t>
      </w:r>
      <m:oMath>
        <m:r>
          <m:t>Z</m:t>
        </m:r>
      </m:oMath>
      <w:r>
        <w:rPr>
          <w:b/>
          <w:bCs/>
        </w:rPr>
        <w:t xml:space="preserve">-</w:t>
      </w:r>
      <m:oMath>
        <m:r>
          <m:t>A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association across</w:t>
      </w:r>
      <w:r>
        <w:rPr>
          <w:b/>
          <w:bCs/>
        </w:rPr>
        <w:t xml:space="preserve"> </w:t>
      </w:r>
      <m:oMath>
        <m:r>
          <m:t>U</m:t>
        </m:r>
      </m:oMath>
      <w:r>
        <w:t xml:space="preserve">: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A</m:t>
            </m:r>
            <m:r>
              <m:rPr>
                <m:sty m:val="p"/>
              </m:rPr>
              <m:t>∣</m:t>
            </m:r>
            <m:r>
              <m:t>Z</m:t>
            </m:r>
            <m:r>
              <m:rPr>
                <m:sty m:val="p"/>
              </m:rPr>
              <m:t>=</m:t>
            </m:r>
            <m:r>
              <m:t>1</m:t>
            </m:r>
            <m:r>
              <m:rPr>
                <m:sty m:val="p"/>
              </m:rPr>
              <m:t>,</m:t>
            </m:r>
            <m:r>
              <m:t>U</m:t>
            </m:r>
          </m:e>
        </m:d>
        <m:r>
          <m:t>​</m:t>
        </m:r>
        <m:r>
          <m:rPr>
            <m:sty m:val="p"/>
          </m:rPr>
          <m:t>−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A</m:t>
            </m:r>
            <m:r>
              <m:rPr>
                <m:sty m:val="p"/>
              </m:rPr>
              <m:t>∣</m:t>
            </m:r>
            <m:r>
              <m:t>Z</m:t>
            </m:r>
            <m:r>
              <m:rPr>
                <m:sty m:val="p"/>
              </m:rPr>
              <m:t>=</m:t>
            </m:r>
            <m:r>
              <m:t>0</m:t>
            </m:r>
            <m:r>
              <m:rPr>
                <m:sty m:val="p"/>
              </m:rPr>
              <m:t>,</m:t>
            </m:r>
            <m:r>
              <m:t>U</m:t>
            </m:r>
          </m:e>
        </m:d>
        <m:r>
          <m:t>​</m:t>
        </m:r>
        <m:r>
          <m:rPr>
            <m:sty m:val="p"/>
          </m:rPr>
          <m:t>=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A</m:t>
            </m:r>
            <m:r>
              <m:rPr>
                <m:sty m:val="p"/>
              </m:rPr>
              <m:t>∣</m:t>
            </m:r>
            <m:r>
              <m:t>Z</m:t>
            </m:r>
            <m:r>
              <m:rPr>
                <m:sty m:val="p"/>
              </m:rPr>
              <m:t>=</m:t>
            </m:r>
            <m:r>
              <m:t>1</m:t>
            </m:r>
          </m:e>
        </m:d>
        <m:r>
          <m:t>​</m:t>
        </m:r>
        <m:r>
          <m:rPr>
            <m:sty m:val="p"/>
          </m:rPr>
          <m:t>−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A</m:t>
            </m:r>
            <m:r>
              <m:rPr>
                <m:sty m:val="p"/>
              </m:rPr>
              <m:t>∣</m:t>
            </m:r>
            <m:r>
              <m:t>Z</m:t>
            </m:r>
            <m:r>
              <m:rPr>
                <m:sty m:val="p"/>
              </m:rPr>
              <m:t>=</m:t>
            </m:r>
            <m:r>
              <m:t>0</m:t>
            </m:r>
          </m:e>
        </m:d>
        <m:r>
          <m:t>​</m:t>
        </m:r>
      </m:oMath>
      <w:r>
        <w:t xml:space="preserve">.</w:t>
      </w:r>
    </w:p>
    <w:p>
      <w:pPr>
        <w:pStyle w:val="FirstParagraph"/>
      </w:pPr>
      <w:r>
        <w:t xml:space="preserve">Version 1 was implicitly assumed in many early IV analyses that used two-stage least squares.</w:t>
      </w:r>
    </w:p>
    <w:p>
      <w:pPr>
        <w:pStyle w:val="BodyText"/>
      </w:pPr>
      <w:r>
        <w:t xml:space="preserve">Version 2 is the one used in Technical Point 16.3.</w:t>
      </w:r>
      <w:r>
        <w:t xml:space="preserve"> </w:t>
      </w:r>
      <w:r>
        <w:t xml:space="preserve">It is not automatically implied by condition (iii): even when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</m:sup>
        </m:sSup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Z</m:t>
        </m:r>
      </m:oMath>
      <w:r>
        <w:t xml:space="preserve"> </w:t>
      </w:r>
      <w:r>
        <w:t xml:space="preserve">holds,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</m:sup>
        </m:sSup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Z</m:t>
        </m:r>
        <m:r>
          <m:rPr>
            <m:sty m:val="p"/>
          </m:rPr>
          <m:t>∣</m:t>
        </m:r>
        <m:r>
          <m:t>A</m:t>
        </m:r>
      </m:oMath>
      <w:r>
        <w:t xml:space="preserve"> </w:t>
      </w:r>
      <w:r>
        <w:t xml:space="preserve">generally does not,</w:t>
      </w:r>
      <w:r>
        <w:t xml:space="preserve"> </w:t>
      </w:r>
      <w:r>
        <w:t xml:space="preserve">so the treatment effect may vary with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among the treated or the untreated</w:t>
      </w:r>
      <w:r>
        <w:t xml:space="preserve"> </w:t>
      </w:r>
      <w:r>
        <w:t xml:space="preserve">(Hernán and Robins 2020, 214)</w:t>
      </w:r>
      <w:r>
        <w:t xml:space="preserve">.</w:t>
      </w:r>
      <w:r>
        <w:t xml:space="preserve"> </w:t>
      </w:r>
      <w:r>
        <w:t xml:space="preserve">It is also hard for subject-matter experts to argue for, which motivates versions stated in terms of the confounders</w:t>
      </w:r>
      <w:r>
        <w:t xml:space="preserve"> </w:t>
      </w:r>
      <m:oMath>
        <m:r>
          <m:t>U</m:t>
        </m:r>
      </m:oMath>
      <w:r>
        <w:t xml:space="preserve">.</w:t>
      </w:r>
    </w:p>
    <w:p>
      <w:pPr>
        <w:pStyle w:val="BodyText"/>
      </w:pPr>
      <w:r>
        <w:t xml:space="preserve">Version 3 is often implausible because some unmeasured confounders are likely effect modifiers too,</w:t>
      </w:r>
      <w:r>
        <w:t xml:space="preserve"> </w:t>
      </w:r>
      <w:r>
        <w:t xml:space="preserve">e.g., weight gain after quitting may depend on prior smoking intensity, itself a likely unmeasured confounder.</w:t>
      </w:r>
      <w:r>
        <w:t xml:space="preserve"> </w:t>
      </w:r>
      <w:r>
        <w:t xml:space="preserve">Hernán and Robins showed that if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is an additive effect modifier, version 2 would not be a reasonable belief either</w:t>
      </w:r>
      <w:r>
        <w:t xml:space="preserve"> </w:t>
      </w:r>
      <w:r>
        <w:t xml:space="preserve">(Hernán and Robins 2020, 215)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Start w:id="32" w:name="the-general-homogeneity-condition"/>
    <w:p>
      <w:pPr>
        <w:pStyle w:val="Heading3"/>
      </w:pPr>
      <w:r>
        <w:t xml:space="preserve">3.1 The General Homogeneity Condition</w:t>
      </w:r>
    </w:p>
    <w:p>
      <w:pPr>
        <w:pStyle w:val="FirstParagraph"/>
      </w:pPr>
      <w:r>
        <w:t xml:space="preserve">Define the effect modification by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of the effect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on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and of the</w:t>
      </w:r>
      <w:r>
        <w:t xml:space="preserve"> </w:t>
      </w:r>
      <m:oMath>
        <m:r>
          <m:t>Z</m:t>
        </m:r>
      </m:oMath>
      <w:r>
        <w:t xml:space="preserve">-</w:t>
      </w:r>
      <m:oMath>
        <m:r>
          <m:t>A</m:t>
        </m:r>
      </m:oMath>
      <w:r>
        <w:t xml:space="preserve"> </w:t>
      </w:r>
      <w:r>
        <w:t xml:space="preserve">association:</w:t>
      </w:r>
    </w:p>
    <w:p>
      <w:pPr>
        <w:pStyle w:val="BodyText"/>
      </w:pPr>
      <m:oMathPara>
        <m:oMathParaPr>
          <m:jc m:val="center"/>
        </m:oMathParaPr>
        <m:oMath>
          <m:r>
            <m:t>e</m:t>
          </m:r>
          <m:r>
            <m:rPr>
              <m:sty m:val="p"/>
            </m:rPr>
            <m:t>(</m:t>
          </m:r>
          <m:r>
            <m:t>U</m:t>
          </m:r>
          <m:r>
            <m:rPr>
              <m:sty m:val="p"/>
            </m:rPr>
            <m:t>)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rPr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−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∣</m:t>
              </m:r>
              <m:r>
                <m:t>U</m:t>
              </m:r>
            </m:e>
          </m:d>
          <m:r>
            <m:t>​</m:t>
          </m:r>
          <m:r>
            <m:rPr>
              <m:sty m:val="p"/>
            </m:rPr>
            <m:t>,</m:t>
          </m:r>
          <m:r>
            <m:t>  </m:t>
          </m:r>
          <m:r>
            <m:t>t</m:t>
          </m:r>
          <m:r>
            <m:rPr>
              <m:sty m:val="p"/>
            </m:rPr>
            <m:t>(</m:t>
          </m:r>
          <m:r>
            <m:t>U</m:t>
          </m:r>
          <m:r>
            <m:rPr>
              <m:sty m:val="p"/>
            </m:rPr>
            <m:t>)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rPr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r>
                <m:t>A</m:t>
              </m:r>
              <m:r>
                <m:rPr>
                  <m:sty m:val="p"/>
                </m:rPr>
                <m:t>∣</m:t>
              </m:r>
              <m:r>
                <m:t>Z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U</m:t>
              </m:r>
            </m:e>
          </m:d>
          <m:r>
            <m:t>​</m:t>
          </m:r>
          <m:r>
            <m:rPr>
              <m:sty m:val="p"/>
            </m:rPr>
            <m:t>−</m:t>
          </m:r>
          <m:r>
            <m:rPr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r>
                <m:t>A</m:t>
              </m:r>
              <m:r>
                <m:rPr>
                  <m:sty m:val="p"/>
                </m:rPr>
                <m:t>∣</m:t>
              </m:r>
              <m:r>
                <m:t>Z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U</m:t>
              </m:r>
            </m:e>
          </m:d>
          <m:r>
            <m:t>​</m:t>
          </m:r>
          <m:r>
            <m:rPr>
              <m:sty m:val="p"/>
            </m:rPr>
            <m:t>.</m:t>
          </m:r>
        </m:oMath>
      </m:oMathPara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7" w:name="thm-general-homogeneity"/>
          <w:p>
            <w:pPr>
              <w:pStyle w:val="BodyText"/>
            </w:pPr>
            <w:r>
              <w:rPr>
                <w:b/>
                <w:bCs/>
              </w:rPr>
              <w:t xml:space="preserve">Theorem 1 (General Homogeneity Condition)</w:t>
            </w:r>
            <w:r>
              <w:t xml:space="preserve"> </w:t>
            </w:r>
            <w:r>
              <w:t xml:space="preserve">Under the causal diagram of Figure 16.1, if</w:t>
            </w:r>
            <w:r>
              <w:t xml:space="preserve"> </w:t>
            </w:r>
            <m:oMath>
              <m:r>
                <m:rPr>
                  <m:sty m:val="p"/>
                </m:rPr>
                <m:t>Cov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e</m:t>
                  </m:r>
                  <m:r>
                    <m:rPr>
                      <m:sty m:val="p"/>
                    </m:rPr>
                    <m:t>(</m:t>
                  </m:r>
                  <m:r>
                    <m:t>U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,</m:t>
                  </m:r>
                  <m:r>
                    <m:t>t</m:t>
                  </m:r>
                  <m:r>
                    <m:rPr>
                      <m:sty m:val="p"/>
                    </m:rPr>
                    <m:t>(</m:t>
                  </m:r>
                  <m:r>
                    <m:t>U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 then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p>
                    </m:sSup>
                    <m:r>
                      <m:rPr>
                        <m:sty m:val="p"/>
                      </m:rPr>
                      <m:t>−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f>
                  <m:fPr>
                    <m:type m:val="bar"/>
                  </m:fPr>
                  <m:num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e>
                    </m:d>
                    <m:r>
                      <m:t>​</m:t>
                    </m:r>
                  </m:num>
                  <m:den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A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A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e>
                    </m:d>
                    <m:r>
                      <m:t>​</m:t>
                    </m:r>
                  </m:den>
                </m:f>
                <m:r>
                  <m:rPr>
                    <m:sty m:val="p"/>
                  </m:rPr>
                  <m:t>.</m:t>
                </m:r>
              </m:oMath>
            </m:oMathPara>
          </w:p>
          <w:bookmarkEnd w:id="27"/>
        </w:tc>
      </w:tr>
    </w:tbl>
    <w:p>
      <w:pPr>
        <w:pStyle w:val="FirstParagraph"/>
      </w:pPr>
      <w:r>
        <w:t xml:space="preserve">Versions 3 and 4 are special cases: they say</w:t>
      </w:r>
      <w:r>
        <w:t xml:space="preserve"> </w:t>
      </w:r>
      <w:r>
        <w:t xml:space="preserve">“</w:t>
      </w:r>
      <m:oMath>
        <m:r>
          <m:t>e</m:t>
        </m:r>
        <m:r>
          <m:rPr>
            <m:sty m:val="p"/>
          </m:rPr>
          <m:t>(</m:t>
        </m:r>
        <m:r>
          <m:t>U</m:t>
        </m:r>
        <m:r>
          <m:rPr>
            <m:sty m:val="p"/>
          </m:rPr>
          <m:t>)</m:t>
        </m:r>
      </m:oMath>
      <w:r>
        <w:t xml:space="preserve"> </w:t>
      </w:r>
      <w:r>
        <w:t xml:space="preserve">is constant”</w:t>
      </w:r>
      <w:r>
        <w:t xml:space="preserve"> </w:t>
      </w:r>
      <w:r>
        <w:t xml:space="preserve">and</w:t>
      </w:r>
      <w:r>
        <w:t xml:space="preserve"> </w:t>
      </w:r>
      <w:r>
        <w:t xml:space="preserve">“</w:t>
      </w:r>
      <m:oMath>
        <m:r>
          <m:t>t</m:t>
        </m:r>
        <m:r>
          <m:rPr>
            <m:sty m:val="p"/>
          </m:rPr>
          <m:t>(</m:t>
        </m:r>
        <m:r>
          <m:t>U</m:t>
        </m:r>
        <m:r>
          <m:rPr>
            <m:sty m:val="p"/>
          </m:rPr>
          <m:t>)</m:t>
        </m:r>
      </m:oMath>
      <w:r>
        <w:t xml:space="preserve"> </w:t>
      </w:r>
      <w:r>
        <w:t xml:space="preserve">is constant”</w:t>
      </w:r>
      <w:r>
        <w:t xml:space="preserve">, and the covariance of any variable with a constant is 0</w:t>
      </w:r>
      <w:r>
        <w:t xml:space="preserve"> </w:t>
      </w:r>
      <w:r>
        <w:t xml:space="preserve">(Hernán and Robins 2020, 216)</w:t>
      </w:r>
      <w:r>
        <w:t xml:space="preserve">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16" w:after="16"/>
            </w:pPr>
            <w:r>
              <w:t xml:space="preserve">Proof (Proof (Technical Point 16.5))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 (Proof (Technical Point 16.5)). </w:t>
            </w:r>
            <w:r>
              <w:t xml:space="preserve">In Figure 16.1,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Z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∣</m:t>
              </m:r>
              <m:r>
                <m:t>U</m:t>
              </m:r>
            </m:oMath>
            <w:r>
              <w:t xml:space="preserve"> </w:t>
            </w:r>
            <w:r>
              <w:t xml:space="preserve">for each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U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Z</m:t>
              </m:r>
            </m:oMath>
            <w:r>
              <w:t xml:space="preserve">.</w:t>
            </w:r>
          </w:p>
          <w:p>
            <w:pPr>
              <w:pStyle w:val="BodyText"/>
            </w:pPr>
            <w:r>
              <w:rPr>
                <w:b/>
                <w:bCs/>
              </w:rPr>
              <w:t xml:space="preserve">Step 1: the denominator is</w:t>
            </w:r>
            <w:r>
              <w:rPr>
                <w:b/>
                <w:bCs/>
              </w:rP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t</m:t>
                  </m:r>
                  <m:r>
                    <m:rPr>
                      <m:sty m:val="p"/>
                    </m:rPr>
                    <m:t>(</m:t>
                  </m:r>
                  <m:r>
                    <m:t>U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</m:oMath>
            <w:r>
              <w:rPr>
                <w:b/>
                <w:bCs/>
              </w:rPr>
              <w:t xml:space="preserve">.</w:t>
            </w:r>
            <w:r>
              <w:t xml:space="preserve"> </w:t>
            </w:r>
            <w:r>
              <w:t xml:space="preserve">Because</w:t>
            </w:r>
            <w:r>
              <w:t xml:space="preserve"> </w:t>
            </w:r>
            <m:oMath>
              <m:r>
                <m:t>U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Z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r>
                <m:t>u</m:t>
              </m:r>
              <m:r>
                <m:rPr>
                  <m:sty m:val="p"/>
                </m:rPr>
                <m:t>∣</m:t>
              </m:r>
              <m:r>
                <m:t>z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f</m:t>
              </m:r>
              <m:r>
                <m:rPr>
                  <m:sty m:val="p"/>
                </m:rPr>
                <m:t>(</m:t>
              </m:r>
              <m:r>
                <m:t>u</m:t>
              </m:r>
              <m:r>
                <m:rPr>
                  <m:sty m:val="p"/>
                </m:rPr>
                <m:t>)</m:t>
              </m:r>
            </m:oMath>
            <w:r>
              <w:t xml:space="preserve">, so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A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z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u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r>
                          <m:rPr>
                            <m:sty m:val="p"/>
                          </m:rPr>
                          <m:t>E</m:t>
                        </m:r>
                      </m:e>
                    </m:nary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A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z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U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u</m:t>
                        </m:r>
                      </m:e>
                    </m:d>
                    <m:r>
                      <m:t>​</m:t>
                    </m:r>
                    <m:r>
                      <m:t>f</m:t>
                    </m:r>
                    <m:r>
                      <m:rPr>
                        <m:sty m:val="p"/>
                      </m:rPr>
                      <m:t>(</m:t>
                    </m:r>
                    <m:r>
                      <m:t>u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z</m:t>
                    </m:r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(law of total expectation)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u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r>
                          <m:rPr>
                            <m:sty m:val="p"/>
                          </m:rPr>
                          <m:t>E</m:t>
                        </m:r>
                      </m:e>
                    </m:nary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A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z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U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u</m:t>
                        </m:r>
                      </m:e>
                    </m:d>
                    <m:r>
                      <m:t>​</m:t>
                    </m:r>
                    <m:r>
                      <m:t>f</m:t>
                    </m:r>
                    <m:r>
                      <m:rPr>
                        <m:sty m:val="p"/>
                      </m:rPr>
                      <m:t>(</m:t>
                    </m:r>
                    <m:r>
                      <m:t>u</m:t>
                    </m:r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(</m:t>
                    </m:r>
                    <m:r>
                      <m:t>U</m:t>
                    </m:r>
                    <m:r>
                      <m:rPr>
                        <m:sty m:val="p"/>
                      </m:rPr>
                      <m:t>⟂</m:t>
                    </m:r>
                    <m:r>
                      <m:t>​</m:t>
                    </m:r>
                    <m:r>
                      <m:t>​</m:t>
                    </m:r>
                    <m:r>
                      <m:t>​</m:t>
                    </m:r>
                    <m:r>
                      <m:rPr>
                        <m:sty m:val="p"/>
                      </m:rPr>
                      <m:t>⟂</m:t>
                    </m:r>
                    <m:r>
                      <m:t>Z</m:t>
                    </m:r>
                    <m:r>
                      <m:rPr>
                        <m:sty m:val="p"/>
                      </m:rPr>
                      <m:t>)</m:t>
                    </m:r>
                  </m:e>
                  <m:e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A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A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u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r>
                          <m:t>t</m:t>
                        </m:r>
                      </m:e>
                    </m:nary>
                    <m:r>
                      <m:rPr>
                        <m:sty m:val="p"/>
                      </m:rPr>
                      <m:t>(</m:t>
                    </m:r>
                    <m:r>
                      <m:t>u</m:t>
                    </m:r>
                    <m:r>
                      <m:rPr>
                        <m:sty m:val="p"/>
                      </m:rPr>
                      <m:t>)</m:t>
                    </m:r>
                    <m:r>
                      <m:t>f</m:t>
                    </m:r>
                    <m:r>
                      <m:rPr>
                        <m:sty m:val="p"/>
                      </m:rPr>
                      <m:t>(</m:t>
                    </m:r>
                    <m:r>
                      <m:t>u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t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U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.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(definition of </m:t>
                    </m:r>
                    <m:r>
                      <m:t>t</m:t>
                    </m:r>
                    <m:r>
                      <m:rPr>
                        <m:sty m:val="p"/>
                      </m:rPr>
                      <m:t>)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rPr>
                <w:b/>
                <w:bCs/>
              </w:rPr>
              <w:t xml:space="preserve">Step 2: the numerator is</w:t>
            </w:r>
            <w:r>
              <w:rPr>
                <w:b/>
                <w:bCs/>
              </w:rP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e</m:t>
                  </m:r>
                  <m:r>
                    <m:rPr>
                      <m:sty m:val="p"/>
                    </m:rPr>
                    <m:t>(</m:t>
                  </m:r>
                  <m:r>
                    <m:t>U</m:t>
                  </m:r>
                  <m:r>
                    <m:rPr>
                      <m:sty m:val="p"/>
                    </m:rPr>
                    <m:t>)</m:t>
                  </m:r>
                  <m:r>
                    <m:t> </m:t>
                  </m:r>
                  <m:r>
                    <m:t>t</m:t>
                  </m:r>
                  <m:r>
                    <m:rPr>
                      <m:sty m:val="p"/>
                    </m:rPr>
                    <m:t>(</m:t>
                  </m:r>
                  <m:r>
                    <m:t>U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</m:oMath>
            <w:r>
              <w:rPr>
                <w:b/>
                <w:bCs/>
              </w:rPr>
              <w:t xml:space="preserve">.</w:t>
            </w:r>
            <w:r>
              <w:t xml:space="preserve"> </w:t>
            </w:r>
            <w:r>
              <w:t xml:space="preserve">By consistency,</w:t>
            </w:r>
            <w:r>
              <w:t xml:space="preserve"> </w:t>
            </w:r>
            <m:oMath>
              <m:r>
                <m:t>Y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(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−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</m:oMath>
            <w:r>
              <w:t xml:space="preserve">.</w:t>
            </w:r>
            <w:r>
              <w:t xml:space="preserve"> </w:t>
            </w:r>
            <w:r>
              <w:t xml:space="preserve">For each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,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A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−</m:t>
                        </m:r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z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U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u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(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Z</m:t>
                    </m:r>
                    <m:r>
                      <m:rPr>
                        <m:sty m:val="p"/>
                      </m:rPr>
                      <m:t>=</m:t>
                    </m:r>
                    <m:r>
                      <m:t>z</m:t>
                    </m:r>
                    <m:r>
                      <m:rPr>
                        <m:sty m:val="p"/>
                      </m:rPr>
                      <m:t>,</m:t>
                    </m:r>
                    <m:r>
                      <m:t>U</m:t>
                    </m:r>
                    <m:r>
                      <m:rPr>
                        <m:sty m:val="p"/>
                      </m:rPr>
                      <m:t>=</m:t>
                    </m:r>
                    <m:r>
                      <m:t>u</m:t>
                    </m:r>
                    <m:r>
                      <m:rPr>
                        <m:sty m:val="p"/>
                      </m:rPr>
                      <m:t>)</m:t>
                    </m:r>
                    <m:r>
                      <m:t> 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−</m:t>
                        </m:r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z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U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u</m:t>
                        </m:r>
                      </m:e>
                    </m:d>
                    <m:r>
                      <m:t>​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(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Z</m:t>
                    </m:r>
                    <m:r>
                      <m:rPr>
                        <m:sty m:val="p"/>
                      </m:rPr>
                      <m:t>=</m:t>
                    </m:r>
                    <m:r>
                      <m:t>z</m:t>
                    </m:r>
                    <m:r>
                      <m:rPr>
                        <m:sty m:val="p"/>
                      </m:rPr>
                      <m:t>,</m:t>
                    </m:r>
                    <m:r>
                      <m:t>U</m:t>
                    </m:r>
                    <m:r>
                      <m:rPr>
                        <m:sty m:val="p"/>
                      </m:rPr>
                      <m:t>=</m:t>
                    </m:r>
                    <m:r>
                      <m:t>u</m:t>
                    </m:r>
                    <m:r>
                      <m:rPr>
                        <m:sty m:val="p"/>
                      </m:rPr>
                      <m:t>)</m:t>
                    </m:r>
                    <m:r>
                      <m:t> 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−</m:t>
                        </m:r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U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u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(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</m:sup>
                    </m:sSup>
                    <m:r>
                      <m:rPr>
                        <m:sty m:val="p"/>
                      </m:rPr>
                      <m:t>⟂</m:t>
                    </m:r>
                    <m:r>
                      <m:t>​</m:t>
                    </m:r>
                    <m:r>
                      <m:t>​</m:t>
                    </m:r>
                    <m:r>
                      <m:t>​</m:t>
                    </m:r>
                    <m:r>
                      <m:rPr>
                        <m:sty m:val="p"/>
                      </m:rPr>
                      <m:t>⟂</m:t>
                    </m:r>
                    <m:r>
                      <m:rPr>
                        <m:sty m:val="p"/>
                      </m:rPr>
                      <m:t>(</m:t>
                    </m:r>
                    <m:r>
                      <m:t>A</m:t>
                    </m:r>
                    <m:r>
                      <m:rPr>
                        <m:sty m:val="p"/>
                      </m:rPr>
                      <m:t>,</m:t>
                    </m:r>
                    <m:r>
                      <m:t>Z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U</m:t>
                    </m:r>
                    <m:r>
                      <m:rPr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(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Z</m:t>
                    </m:r>
                    <m:r>
                      <m:rPr>
                        <m:sty m:val="p"/>
                      </m:rPr>
                      <m:t>=</m:t>
                    </m:r>
                    <m:r>
                      <m:t>z</m:t>
                    </m:r>
                    <m:r>
                      <m:rPr>
                        <m:sty m:val="p"/>
                      </m:rPr>
                      <m:t>,</m:t>
                    </m:r>
                    <m:r>
                      <m:t>U</m:t>
                    </m:r>
                    <m:r>
                      <m:rPr>
                        <m:sty m:val="p"/>
                      </m:rPr>
                      <m:t>=</m:t>
                    </m:r>
                    <m:r>
                      <m:t>u</m:t>
                    </m:r>
                    <m:r>
                      <m:rPr>
                        <m:sty m:val="p"/>
                      </m:rPr>
                      <m:t>)</m:t>
                    </m:r>
                    <m:r>
                      <m:t> </m:t>
                    </m:r>
                    <m:r>
                      <m:t>e</m:t>
                    </m:r>
                    <m:r>
                      <m:rPr>
                        <m:sty m:val="p"/>
                      </m:rPr>
                      <m:t>(</m:t>
                    </m:r>
                    <m:r>
                      <m:t>u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,</m:t>
                    </m:r>
                  </m:e>
                  <m:e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z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U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u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U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u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.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(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  <m:r>
                      <m:rPr>
                        <m:sty m:val="p"/>
                      </m:rPr>
                      <m:t>⟂</m:t>
                    </m:r>
                    <m:r>
                      <m:t>​</m:t>
                    </m:r>
                    <m:r>
                      <m:t>​</m:t>
                    </m:r>
                    <m:r>
                      <m:t>​</m:t>
                    </m:r>
                    <m:r>
                      <m:rPr>
                        <m:sty m:val="p"/>
                      </m:rPr>
                      <m:t>⟂</m:t>
                    </m:r>
                    <m:r>
                      <m:t>Z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U</m:t>
                    </m:r>
                    <m:r>
                      <m:rPr>
                        <m:sty m:val="p"/>
                      </m:rPr>
                      <m:t>)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Averaging over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(with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r>
                <m:t>u</m:t>
              </m:r>
              <m:r>
                <m:rPr>
                  <m:sty m:val="p"/>
                </m:rPr>
                <m:t>∣</m:t>
              </m:r>
              <m:r>
                <m:t>z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f</m:t>
              </m:r>
              <m:r>
                <m:rPr>
                  <m:sty m:val="p"/>
                </m:rPr>
                <m:t>(</m:t>
              </m:r>
              <m:r>
                <m:t>u</m:t>
              </m:r>
              <m:r>
                <m:rPr>
                  <m:sty m:val="p"/>
                </m:rPr>
                <m:t>)</m:t>
              </m:r>
            </m:oMath>
            <w:r>
              <w:t xml:space="preserve">):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Z</m:t>
                    </m:r>
                    <m:r>
                      <m:rPr>
                        <m:sty m:val="p"/>
                      </m:rPr>
                      <m:t>=</m:t>
                    </m:r>
                    <m:r>
                      <m:t>z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nary>
                  <m:naryPr>
                    <m:chr m:val="∑"/>
                    <m:limLoc m:val="undOvr"/>
                    <m:subHide m:val="off"/>
                    <m:supHide m:val="on"/>
                  </m:naryPr>
                  <m:sub>
                    <m:r>
                      <m:t>u</m:t>
                    </m:r>
                  </m:sub>
                  <m:sup>
                    <m:r>
                      <m:t>​</m:t>
                    </m:r>
                  </m:sup>
                  <m:e>
                    <m:r>
                      <m:t>​</m:t>
                    </m:r>
                  </m:e>
                </m:nary>
                <m:d>
                  <m:dPr>
                    <m:begChr m:val="{"/>
                    <m:sepChr m:val=""/>
                    <m:endChr m:val="}"/>
                    <m:grow/>
                  </m:dPr>
                  <m:e>
                    <m:r>
                      <m:t>e</m:t>
                    </m:r>
                    <m:r>
                      <m:rPr>
                        <m:sty m:val="p"/>
                      </m:rPr>
                      <m:t>(</m:t>
                    </m:r>
                    <m:r>
                      <m:t>u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(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Z</m:t>
                    </m:r>
                    <m:r>
                      <m:rPr>
                        <m:sty m:val="p"/>
                      </m:rPr>
                      <m:t>=</m:t>
                    </m:r>
                    <m:r>
                      <m:t>z</m:t>
                    </m:r>
                    <m:r>
                      <m:rPr>
                        <m:sty m:val="p"/>
                      </m:rPr>
                      <m:t>,</m:t>
                    </m:r>
                    <m:r>
                      <m:t>U</m:t>
                    </m:r>
                    <m:r>
                      <m:rPr>
                        <m:sty m:val="p"/>
                      </m:rPr>
                      <m:t>=</m:t>
                    </m:r>
                    <m:r>
                      <m:t>u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+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U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u</m:t>
                        </m:r>
                      </m:e>
                    </m:d>
                    <m:r>
                      <m:t>​</m:t>
                    </m:r>
                  </m:e>
                </m:d>
                <m:r>
                  <m:t>​</m:t>
                </m:r>
                <m:r>
                  <m:t>f</m:t>
                </m:r>
                <m:r>
                  <m:rPr>
                    <m:sty m:val="p"/>
                  </m:rPr>
                  <m:t>(</m:t>
                </m:r>
                <m:r>
                  <m:t>u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r>
              <w:t xml:space="preserve">so the second term cancels in the difference and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Z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Z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nary>
                  <m:naryPr>
                    <m:chr m:val="∑"/>
                    <m:limLoc m:val="undOvr"/>
                    <m:subHide m:val="off"/>
                    <m:supHide m:val="on"/>
                  </m:naryPr>
                  <m:sub>
                    <m:r>
                      <m:t>u</m:t>
                    </m:r>
                  </m:sub>
                  <m:sup>
                    <m:r>
                      <m:t>​</m:t>
                    </m:r>
                  </m:sup>
                  <m:e>
                    <m:r>
                      <m:t>e</m:t>
                    </m:r>
                  </m:e>
                </m:nary>
                <m:r>
                  <m:rPr>
                    <m:sty m:val="p"/>
                  </m:rPr>
                  <m:t>(</m:t>
                </m:r>
                <m:r>
                  <m:t>u</m:t>
                </m:r>
                <m:r>
                  <m:rPr>
                    <m:sty m:val="p"/>
                  </m:rPr>
                  <m:t>)</m:t>
                </m:r>
                <m:r>
                  <m:t> </m:t>
                </m:r>
                <m:r>
                  <m:t>t</m:t>
                </m:r>
                <m:r>
                  <m:rPr>
                    <m:sty m:val="p"/>
                  </m:rPr>
                  <m:t>(</m:t>
                </m:r>
                <m:r>
                  <m:t>u</m:t>
                </m:r>
                <m:r>
                  <m:rPr>
                    <m:sty m:val="p"/>
                  </m:rPr>
                  <m:t>)</m:t>
                </m:r>
                <m:r>
                  <m:t> </m:t>
                </m:r>
                <m:r>
                  <m:t>f</m:t>
                </m:r>
                <m:r>
                  <m:rPr>
                    <m:sty m:val="p"/>
                  </m:rPr>
                  <m:t>(</m:t>
                </m:r>
                <m:r>
                  <m:t>u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e</m:t>
                    </m:r>
                    <m:r>
                      <m:rPr>
                        <m:sty m:val="p"/>
                      </m:rPr>
                      <m:t>(</m:t>
                    </m:r>
                    <m:r>
                      <m:t>U</m:t>
                    </m:r>
                    <m:r>
                      <m:rPr>
                        <m:sty m:val="p"/>
                      </m:rPr>
                      <m:t>)</m:t>
                    </m:r>
                    <m:r>
                      <m:t> </m:t>
                    </m:r>
                    <m:r>
                      <m:t>t</m:t>
                    </m:r>
                    <m:r>
                      <m:rPr>
                        <m:sty m:val="p"/>
                      </m:rPr>
                      <m:t>(</m:t>
                    </m:r>
                    <m:r>
                      <m:t>U</m:t>
                    </m:r>
                    <m:r>
                      <m:rPr>
                        <m:sty m:val="p"/>
                      </m:rPr>
                      <m:t>)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rPr>
                <w:b/>
                <w:bCs/>
              </w:rPr>
              <w:t xml:space="preserve">Step 3: use the zero covariance.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e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U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t> </m:t>
                        </m:r>
                        <m:r>
                          <m:t>t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U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Cov</m:t>
                    </m:r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r>
                          <m:t>e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U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t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U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+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e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U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  <m:r>
                      <m:t> 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t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U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(definition of covariance)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e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U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  <m:r>
                      <m:t> 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t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U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(</m:t>
                    </m:r>
                    <m:r>
                      <m:rPr>
                        <m:sty m:val="p"/>
                      </m:rPr>
                      <m:t>Cov</m:t>
                    </m:r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r>
                          <m:t>e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U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t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U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−</m:t>
                        </m:r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</m:e>
                    </m:d>
                    <m:r>
                      <m:t>​</m:t>
                    </m:r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r>
                          <m:rPr>
                            <m:sty m:val="p"/>
                          </m:rPr>
                          <m:t>E</m:t>
                        </m:r>
                        <m:r>
                          <m:t>​</m:t>
                        </m:r>
                        <m:d>
                          <m:dPr>
                            <m:begChr m:val="["/>
                            <m:sepChr m:val=""/>
                            <m:endChr m:val="]"/>
                            <m:grow/>
                          </m:dPr>
                          <m:e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∣</m:t>
                            </m:r>
                            <m:r>
                              <m:t>Z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</m:e>
                        </m:d>
                        <m:r>
                          <m:t>​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rPr>
                            <m:sty m:val="p"/>
                          </m:rPr>
                          <m:t>E</m:t>
                        </m:r>
                        <m:r>
                          <m:t>​</m:t>
                        </m:r>
                        <m:d>
                          <m:dPr>
                            <m:begChr m:val="["/>
                            <m:sepChr m:val=""/>
                            <m:endChr m:val="]"/>
                            <m:grow/>
                          </m:dPr>
                          <m:e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∣</m:t>
                            </m:r>
                            <m:r>
                              <m:t>Z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e>
                        </m:d>
                        <m:r>
                          <m:t>​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.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(iterated expectations; Step 1)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Dividing the numerator (Step 2) by the denominator (Step 1) gives the result.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8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2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16.3: Additive Structural Mean Models and IV Estimation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Saturated additive structural mean model for dichotomous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 instrument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p>
                    </m:sSup>
                    <m:r>
                      <m:rPr>
                        <m:sty m:val="p"/>
                      </m:rPr>
                      <m:t>−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  <m:r>
                      <m:rPr>
                        <m:sty m:val="p"/>
                      </m:rPr>
                      <m:t>∣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,</m:t>
                    </m:r>
                    <m:r>
                      <m:t>Z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sSub>
                  <m:e>
                    <m:r>
                      <m:t>β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+</m:t>
                </m:r>
                <m:sSub>
                  <m:e>
                    <m:r>
                      <m:t>β</m:t>
                    </m:r>
                  </m:e>
                  <m:sub>
                    <m:r>
                      <m:t>1</m:t>
                    </m:r>
                  </m:sub>
                </m:sSub>
                <m:r>
                  <m:t>Z</m:t>
                </m:r>
                <m:r>
                  <m:rPr>
                    <m:sty m:val="p"/>
                  </m:rPr>
                  <m:t>,</m:t>
                </m:r>
                <m:r>
                  <m:t> </m:t>
                </m:r>
                <m:r>
                  <m:rPr>
                    <m:nor/>
                    <m:sty m:val="p"/>
                  </m:rPr>
                  <m:t>equivalently</m:t>
                </m:r>
                <m:r>
                  <m:t> 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−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  <m:r>
                      <m:rPr>
                        <m:sty m:val="p"/>
                      </m:rPr>
                      <m:t>∣</m:t>
                    </m:r>
                    <m:r>
                      <m:t>A</m:t>
                    </m:r>
                    <m:r>
                      <m:rPr>
                        <m:sty m:val="p"/>
                      </m:rPr>
                      <m:t>,</m:t>
                    </m:r>
                    <m:r>
                      <m:t>Z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r>
                  <m:t>A</m:t>
                </m:r>
                <m:r>
                  <m:rPr>
                    <m:sty m:val="p"/>
                  </m:rPr>
                  <m:t>(</m:t>
                </m:r>
                <m:sSub>
                  <m:e>
                    <m:r>
                      <m:t>β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+</m:t>
                </m:r>
                <m:sSub>
                  <m:e>
                    <m:r>
                      <m:t>β</m:t>
                    </m:r>
                  </m:e>
                  <m:sub>
                    <m:r>
                      <m:t>1</m:t>
                    </m:r>
                  </m:sub>
                </m:sSub>
                <m:r>
                  <m:t>Z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pPr>
              <w:spacing w:after="16"/>
            </w:pPr>
            <m:oMath>
              <m:sSub>
                <m:e>
                  <m:r>
                    <m:t>β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is the effect in the treated with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the effect in the treated with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;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measures additive effect modification by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If we assume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 then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equals the usual IV estimand</w:t>
            </w:r>
            <w:r>
              <w:t xml:space="preserve"> </w:t>
            </w:r>
            <w:r>
              <w:t xml:space="preserve">(Hernán and Robins 2020, 215)</w:t>
            </w:r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The instrumental conditions imply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Z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Z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e>
              </m:d>
              <m:r>
                <m:t>​</m:t>
              </m:r>
            </m:oMath>
            <w:r>
              <w:t xml:space="preserve">.</w:t>
            </w:r>
            <w:r>
              <w:t xml:space="preserve"> </w:t>
            </w:r>
            <w:r>
              <w:t xml:space="preserve">From the model,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Z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Z</m:t>
                  </m:r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t>A</m:t>
              </m:r>
              <m:r>
                <m:rPr>
                  <m:sty m:val="p"/>
                </m:rPr>
                <m:t>(</m:t>
              </m:r>
              <m:sSub>
                <m:e>
                  <m:r>
                    <m:t>β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  <m:r>
                <m:t>Z</m:t>
              </m:r>
              <m:r>
                <m:rPr>
                  <m:sty m:val="p"/>
                </m:rPr>
                <m:t>)</m:t>
              </m:r>
            </m:oMath>
            <w:r>
              <w:t xml:space="preserve">;</w:t>
            </w:r>
            <w:r>
              <w:t xml:space="preserve"> </w:t>
            </w:r>
            <w:r>
              <w:t xml:space="preserve">averaging over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given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,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  <m:r>
                      <m:rPr>
                        <m:sty m:val="p"/>
                      </m:rPr>
                      <m:t>∣</m:t>
                    </m:r>
                    <m:r>
                      <m:t>Z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Z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(</m:t>
                </m:r>
                <m:sSub>
                  <m:e>
                    <m:r>
                      <m:t>β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+</m:t>
                </m:r>
                <m:sSub>
                  <m:e>
                    <m:r>
                      <m:t>β</m:t>
                    </m:r>
                  </m:e>
                  <m:sub>
                    <m:r>
                      <m:t>1</m:t>
                    </m:r>
                  </m:sub>
                </m:sSub>
                <m:r>
                  <m:t>Z</m:t>
                </m:r>
                <m:r>
                  <m:rPr>
                    <m:sty m:val="p"/>
                  </m:rPr>
                  <m:t>)</m:t>
                </m:r>
                <m:r>
                  <m:t> 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A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Z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Setting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and equating the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values: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A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A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e>
                    </m:d>
                    <m:r>
                      <m:t>​</m:t>
                    </m:r>
                  </m:e>
                  <m:e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r>
                          <m:rPr>
                            <m:sty m:val="p"/>
                          </m:rPr>
                          <m:t>E</m:t>
                        </m:r>
                        <m:r>
                          <m:t>​</m:t>
                        </m:r>
                        <m:d>
                          <m:dPr>
                            <m:begChr m:val="["/>
                            <m:sepChr m:val=""/>
                            <m:endChr m:val="]"/>
                            <m:grow/>
                          </m:dPr>
                          <m:e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∣</m:t>
                            </m:r>
                            <m:r>
                              <m:t>Z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</m:e>
                        </m:d>
                        <m:r>
                          <m:t>​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rPr>
                            <m:sty m:val="p"/>
                          </m:rPr>
                          <m:t>E</m:t>
                        </m:r>
                        <m:r>
                          <m:t>​</m:t>
                        </m:r>
                        <m:d>
                          <m:dPr>
                            <m:begChr m:val="["/>
                            <m:sepChr m:val=""/>
                            <m:endChr m:val="]"/>
                            <m:grow/>
                          </m:dPr>
                          <m:e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∣</m:t>
                            </m:r>
                            <m:r>
                              <m:t>Z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e>
                        </m:d>
                        <m:r>
                          <m:t>​</m:t>
                        </m:r>
                      </m:e>
                    </m:d>
                    <m:r>
                      <m:t>​</m:t>
                    </m:r>
                  </m:e>
                  <m:e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E</m:t>
                        </m:r>
                        <m:r>
                          <m:t>​</m:t>
                        </m:r>
                        <m:d>
                          <m:dPr>
                            <m:begChr m:val="["/>
                            <m:sepChr m:val=""/>
                            <m:endChr m:val="]"/>
                            <m:grow/>
                          </m:dPr>
                          <m:e>
                            <m:r>
                              <m:t>Y</m:t>
                            </m:r>
                            <m:r>
                              <m:rPr>
                                <m:sty m:val="p"/>
                              </m:rPr>
                              <m:t>∣</m:t>
                            </m:r>
                            <m:r>
                              <m:t>Z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</m:e>
                        </m:d>
                        <m:r>
                          <m:t>​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rPr>
                            <m:sty m:val="p"/>
                          </m:rPr>
                          <m:t>E</m:t>
                        </m:r>
                        <m:r>
                          <m:t>​</m:t>
                        </m:r>
                        <m:d>
                          <m:dPr>
                            <m:begChr m:val="["/>
                            <m:sepChr m:val=""/>
                            <m:endChr m:val="]"/>
                            <m:grow/>
                          </m:dPr>
                          <m:e>
                            <m:r>
                              <m:t>Y</m:t>
                            </m:r>
                            <m:r>
                              <m:rPr>
                                <m:sty m:val="p"/>
                              </m:rPr>
                              <m:t>∣</m:t>
                            </m:r>
                            <m:r>
                              <m:t>Z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e>
                        </m:d>
                        <m:r>
                          <m:t>​</m:t>
                        </m:r>
                      </m:num>
                      <m:den>
                        <m:r>
                          <m:rPr>
                            <m:sty m:val="p"/>
                          </m:rPr>
                          <m:t>E</m:t>
                        </m:r>
                        <m:r>
                          <m:t>​</m:t>
                        </m:r>
                        <m:d>
                          <m:dPr>
                            <m:begChr m:val="["/>
                            <m:sepChr m:val=""/>
                            <m:endChr m:val="]"/>
                            <m:grow/>
                          </m:dPr>
                          <m:e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∣</m:t>
                            </m:r>
                            <m:r>
                              <m:t>Z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</m:e>
                        </m:d>
                        <m:r>
                          <m:t>​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rPr>
                            <m:sty m:val="p"/>
                          </m:rPr>
                          <m:t>E</m:t>
                        </m:r>
                        <m:r>
                          <m:t>​</m:t>
                        </m:r>
                        <m:d>
                          <m:dPr>
                            <m:begChr m:val="["/>
                            <m:sepChr m:val=""/>
                            <m:endChr m:val="]"/>
                            <m:grow/>
                          </m:dPr>
                          <m:e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∣</m:t>
                            </m:r>
                            <m:r>
                              <m:t>Z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e>
                        </m:d>
                        <m:r>
                          <m:t>​</m:t>
                        </m:r>
                      </m:den>
                    </m:f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p/>
        </w:tc>
      </w:tr>
    </w:tbl>
    <w:p>
      <w:pPr>
        <w:pStyle w:val="FirstParagraph"/>
      </w:pPr>
      <w:r>
        <w:rPr>
          <w:b/>
          <w:bCs/>
        </w:rPr>
        <w:t xml:space="preserve">Why set</w:t>
      </w:r>
      <w:r>
        <w:rPr>
          <w:b/>
          <w:bCs/>
        </w:rPr>
        <w:t xml:space="preserve"> </w:t>
      </w:r>
      <m:oMath>
        <m:sSub>
          <m:e>
            <m:r>
              <m:t>β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0</m:t>
        </m:r>
      </m:oMath>
      <w:r>
        <w:rPr>
          <w:b/>
          <w:bCs/>
        </w:rPr>
        <w:t xml:space="preserve">?</w:t>
      </w:r>
      <w:r>
        <w:t xml:space="preserve"> </w:t>
      </w:r>
      <w:r>
        <w:t xml:space="preserve">The instrumental conditions give one equation in two unknowns (</w:t>
      </w:r>
      <m:oMath>
        <m:sSub>
          <m:e>
            <m:r>
              <m:t>β</m:t>
            </m:r>
          </m:e>
          <m:sub>
            <m:r>
              <m:t>0</m:t>
            </m:r>
          </m:sub>
        </m:sSub>
      </m:oMath>
      <w:r>
        <w:t xml:space="preserve">,</w:t>
      </w:r>
      <w:r>
        <w:t xml:space="preserve"> </w:t>
      </w:r>
      <m:oMath>
        <m:sSub>
          <m:e>
            <m:r>
              <m:t>β</m:t>
            </m:r>
          </m:e>
          <m:sub>
            <m:r>
              <m:t>1</m:t>
            </m:r>
          </m:sub>
        </m:sSub>
      </m:oMath>
      <w:r>
        <w:t xml:space="preserve">), and that equation exhausts the constraints they place on the data.</w:t>
      </w:r>
      <w:r>
        <w:t xml:space="preserve"> </w:t>
      </w:r>
      <w:r>
        <w:t xml:space="preserve">A second constraint is needed and is necessarily untestable;</w:t>
      </w:r>
      <w:r>
        <w:t xml:space="preserve"> </w:t>
      </w:r>
      <m:oMath>
        <m:sSub>
          <m:e>
            <m:r>
              <m:t>β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is an arbitrary choice (one could as well pick</w:t>
      </w:r>
      <w:r>
        <w:t xml:space="preserve"> </w:t>
      </w:r>
      <m:oMath>
        <m:sSub>
          <m:e>
            <m:r>
              <m:t>β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2</m:t>
        </m:r>
      </m:oMath>
      <w:r>
        <w:t xml:space="preserve">).</w:t>
      </w:r>
      <w:r>
        <w:t xml:space="preserve"> </w:t>
      </w:r>
      <w:r>
        <w:t xml:space="preserve">That is what</w:t>
      </w:r>
      <w:r>
        <w:t xml:space="preserve"> </w:t>
      </w:r>
      <w:r>
        <w:t xml:space="preserve">“an instrument is insufficient to identify the average causal effect”</w:t>
      </w:r>
      <w:r>
        <w:t xml:space="preserve"> </w:t>
      </w:r>
      <w:r>
        <w:t xml:space="preserve">means.</w:t>
      </w:r>
    </w:p>
    <w:p>
      <w:pPr>
        <w:pStyle w:val="BodyText"/>
      </w:pPr>
      <w:r>
        <w:t xml:space="preserve">Even with</w:t>
      </w:r>
      <w:r>
        <w:t xml:space="preserve"> </w:t>
      </w:r>
      <m:oMath>
        <m:sSub>
          <m:e>
            <m:r>
              <m:t>β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,</w:t>
      </w:r>
      <w:r>
        <w:t xml:space="preserve"> </w:t>
      </w:r>
      <m:oMath>
        <m:sSub>
          <m:e>
            <m:r>
              <m:t>β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is the effect</w:t>
      </w:r>
      <w:r>
        <w:t xml:space="preserve"> </w:t>
      </w:r>
      <w:r>
        <w:rPr>
          <w:b/>
          <w:bCs/>
        </w:rPr>
        <w:t xml:space="preserve">in the treated</w:t>
      </w:r>
      <w:r>
        <w:t xml:space="preserve">.</w:t>
      </w:r>
      <w:r>
        <w:t xml:space="preserve"> </w:t>
      </w:r>
      <w:r>
        <w:t xml:space="preserve">Interpreting it as the population effect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</m:e>
        </m:d>
        <m:r>
          <m:t>​</m:t>
        </m:r>
        <m:r>
          <m:rPr>
            <m:sty m:val="p"/>
          </m:rPr>
          <m:t>−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</m:e>
        </m:d>
        <m:r>
          <m:t>​</m:t>
        </m:r>
      </m:oMath>
      <w:r>
        <w:t xml:space="preserve"> </w:t>
      </w:r>
      <w:r>
        <w:t xml:space="preserve">needs the further untestable assumption that the effect is the same in the treated and the untreated,</w:t>
      </w:r>
      <w:r>
        <w:t xml:space="preserve"> </w:t>
      </w:r>
      <w:r>
        <w:t xml:space="preserve">i.e., that the corresponding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parameter is also 0 in the model for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(Hernán and Robins 2020, 215)</w:t>
      </w:r>
      <w:r>
        <w:t xml:space="preserve">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3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16.4: Multiplicative Structural Mean Models and IV Estimation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Saturated multiplicative (log-linear) structural mean model: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f>
                  <m:fPr>
                    <m:type m:val="bar"/>
                  </m:fPr>
                  <m:num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Z</m:t>
                        </m:r>
                      </m:e>
                    </m:d>
                    <m:r>
                      <m:t>​</m:t>
                    </m:r>
                  </m:num>
                  <m:den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Z</m:t>
                        </m:r>
                      </m:e>
                    </m:d>
                    <m:r>
                      <m:t>​</m:t>
                    </m:r>
                  </m:den>
                </m:f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exp</m:t>
                </m:r>
                <m:r>
                  <m:t>​</m:t>
                </m:r>
                <m:d>
                  <m:dPr>
                    <m:begChr m:val="{"/>
                    <m:sepChr m:val=""/>
                    <m:endChr m:val="}"/>
                    <m:grow/>
                  </m:dPr>
                  <m:e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t>Z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,</m:t>
                </m:r>
                <m:r>
                  <m:t> </m:t>
                </m:r>
                <m:r>
                  <m:rPr>
                    <m:nor/>
                    <m:sty m:val="p"/>
                  </m:rPr>
                  <m:t>equivalently</m:t>
                </m:r>
                <m:r>
                  <m:t> 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A</m:t>
                    </m:r>
                    <m:r>
                      <m:rPr>
                        <m:sty m:val="p"/>
                      </m:rPr>
                      <m:t>,</m:t>
                    </m:r>
                    <m:r>
                      <m:t>Z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  <m:r>
                      <m:rPr>
                        <m:sty m:val="p"/>
                      </m:rPr>
                      <m:t>∣</m:t>
                    </m:r>
                    <m:r>
                      <m:t>A</m:t>
                    </m:r>
                    <m:r>
                      <m:rPr>
                        <m:sty m:val="p"/>
                      </m:rPr>
                      <m:t>,</m:t>
                    </m:r>
                    <m:r>
                      <m:t>Z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exp</m:t>
                </m:r>
                <m:r>
                  <m:t>​</m:t>
                </m:r>
                <m:d>
                  <m:dPr>
                    <m:begChr m:val="{"/>
                    <m:sepChr m:val=""/>
                    <m:endChr m:val="}"/>
                    <m:grow/>
                  </m:dPr>
                  <m:e>
                    <m:r>
                      <m:t>A</m:t>
                    </m:r>
                    <m:r>
                      <m:rPr>
                        <m:sty m:val="p"/>
                      </m:rPr>
                      <m:t>(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t>Z</m:t>
                    </m:r>
                    <m:r>
                      <m:rPr>
                        <m:sty m:val="p"/>
                      </m:rPr>
                      <m:t>)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Assuming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and no multiplicative effect modification by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 </w:t>
            </w:r>
            <w:r>
              <w:t xml:space="preserve">in the untreated either,</w:t>
            </w:r>
            <w:r>
              <w:t xml:space="preserve"> </w:t>
            </w:r>
            <w:r>
              <w:t xml:space="preserve">the causal risk ratio is</w:t>
            </w:r>
            <w:r>
              <w:t xml:space="preserve"> </w:t>
            </w:r>
            <m:oMath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sSub>
                    <m:e>
                      <m:r>
                        <m:t>β</m:t>
                      </m:r>
                    </m:e>
                    <m:sub>
                      <m:r>
                        <m:t>0</m:t>
                      </m:r>
                    </m:sub>
                  </m:sSub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and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(</m:t>
                </m:r>
                <m:r>
                  <m:t>1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A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)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rPr>
                        <m:sty m:val="p"/>
                      </m:rPr>
                      <m:t>exp</m:t>
                    </m:r>
                    <m:r>
                      <m:t>​</m:t>
                    </m:r>
                    <m:d>
                      <m:dPr>
                        <m:begChr m:val="{"/>
                        <m:sepChr m:val=""/>
                        <m:endChr m:val="}"/>
                        <m:grow/>
                      </m:dPr>
                      <m:e>
                        <m:sSub>
                          <m:e>
                            <m:r>
                              <m:t>β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+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e>
                </m:d>
                <m:r>
                  <m:t>​</m:t>
                </m:r>
                <m:r>
                  <m:t> 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A</m:t>
                    </m:r>
                  </m:e>
                </m:d>
                <m:r>
                  <m:t>​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1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exp</m:t>
                    </m:r>
                    <m:r>
                      <m:t>​</m:t>
                    </m:r>
                    <m:d>
                      <m:dPr>
                        <m:begChr m:val="{"/>
                        <m:sepChr m:val=""/>
                        <m:endChr m:val="}"/>
                        <m:grow/>
                      </m:dPr>
                      <m:e>
                        <m:r>
                          <m:rPr>
                            <m:sty m:val="p"/>
                          </m:rPr>
                          <m:t>−</m:t>
                        </m:r>
                        <m:sSub>
                          <m:e>
                            <m:r>
                              <m:t>β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</m:e>
                    </m:d>
                    <m:r>
                      <m:t>​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pPr>
              <w:spacing w:after="16"/>
            </w:pPr>
            <w:r>
              <w:t xml:space="preserve">This is identified but is</w:t>
            </w:r>
            <w:r>
              <w:t xml:space="preserve"> </w:t>
            </w:r>
            <w:r>
              <w:rPr>
                <w:b/>
                <w:bCs/>
              </w:rPr>
              <w:t xml:space="preserve">not</w:t>
            </w:r>
            <w:r>
              <w:t xml:space="preserve"> </w:t>
            </w:r>
            <w:r>
              <w:t xml:space="preserve">the usual IV estimand</w:t>
            </w:r>
            <w:r>
              <w:t xml:space="preserve"> </w:t>
            </w:r>
            <w:r>
              <w:t xml:space="preserve">(Hernán and Robins 2020, 216)</w:t>
            </w:r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So the estimate of the average causal effect depends on whether one assumes no additive or no multiplicative effect modification by</w:t>
      </w:r>
      <w:r>
        <w:t xml:space="preserve"> </w:t>
      </w:r>
      <m:oMath>
        <m:r>
          <m:t>Z</m:t>
        </m:r>
      </m:oMath>
      <w:r>
        <w:t xml:space="preserve">,</w:t>
      </w:r>
      <w:r>
        <w:t xml:space="preserve"> </w:t>
      </w:r>
      <w:r>
        <w:t xml:space="preserve">and no amount of data can tell which (if either) is true, because the saturated models have more unknown parameters than equations</w:t>
      </w:r>
      <w:r>
        <w:t xml:space="preserve"> </w:t>
      </w:r>
      <w:r>
        <w:t xml:space="preserve">(Hernán and Robins 2020, 216)</w:t>
      </w:r>
      <w:r>
        <w:t xml:space="preserve">.</w:t>
      </w:r>
      <w:r>
        <w:t xml:space="preserve"> </w:t>
      </w:r>
      <w:r>
        <w:t xml:space="preserve">The book refers to Robins (1989) and Hernán and Robins (2006b) for the proof of the formula.</w:t>
      </w:r>
    </w:p>
    <w:p>
      <w:r>
        <w:pict>
          <v:rect style="width:0;height:1.5pt" o:hralign="center" o:hrstd="t" o:hr="t"/>
        </w:pict>
      </w:r>
    </w:p>
    <w:bookmarkEnd w:id="32"/>
    <w:bookmarkStart w:id="35" w:name="bypassing-homogeneity"/>
    <w:p>
      <w:pPr>
        <w:pStyle w:val="Heading3"/>
      </w:pPr>
      <w:r>
        <w:t xml:space="preserve">3.2 Bypassing Homogeneity</w:t>
      </w:r>
    </w:p>
    <w:p>
      <w:pPr>
        <w:pStyle w:val="FirstParagraph"/>
      </w:pPr>
      <w:r>
        <w:t xml:space="preserve">Because the homogeneity conditions are often implausible, the book describes two ways around them</w:t>
      </w:r>
      <w:r>
        <w:t xml:space="preserve"> </w:t>
      </w:r>
      <w:r>
        <w:t xml:space="preserve">(Hernán and Robins 2020, 216)</w:t>
      </w:r>
      <w:r>
        <w:t xml:space="preserve">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Add baseline covariates</w:t>
      </w:r>
      <w:r>
        <w:t xml:space="preserve"> </w:t>
      </w:r>
      <w:r>
        <w:t xml:space="preserve">to the IV models, preferably with structural mean models (fewer parametric assumptions than two-stage least squares).</w:t>
      </w:r>
      <w:r>
        <w:t xml:space="preserve"> </w:t>
      </w:r>
      <w:r>
        <w:t xml:space="preserve">The effect in the treated may then vary with</w:t>
      </w:r>
      <w:r>
        <w:t xml:space="preserve"> </w:t>
      </w:r>
      <m:oMath>
        <m:r>
          <m:t>Z</m:t>
        </m:r>
      </m:oMath>
      <w:r>
        <w:t xml:space="preserve">, subject to constraints on how it varies within levels of the covariates.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Replace homogeneity by a different condition (iv)</w:t>
      </w:r>
      <w:r>
        <w:t xml:space="preserve">, monotonicity (Section 16.4),</w:t>
      </w:r>
      <w:r>
        <w:t xml:space="preserve"> </w:t>
      </w:r>
      <w:r>
        <w:t xml:space="preserve">which gives the usual IV estimand a causal interpretation without identifying the population effect.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3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16.6: More General Structural Mean Models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With possibly continuous or multivariate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 </w:t>
            </w:r>
            <w:r>
              <w:t xml:space="preserve">and pre-instrument covariates</w:t>
            </w:r>
            <w:r>
              <w:t xml:space="preserve"> </w:t>
            </w:r>
            <m:oMath>
              <m:r>
                <m:t>V</m:t>
              </m:r>
            </m:oMath>
            <w:r>
              <w:t xml:space="preserve">, an additive structural mean model is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−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  <m:r>
                      <m:rPr>
                        <m:sty m:val="p"/>
                      </m:rPr>
                      <m:t>∣</m:t>
                    </m:r>
                    <m:r>
                      <m:t>Z</m:t>
                    </m:r>
                    <m:r>
                      <m:rPr>
                        <m:sty m:val="p"/>
                      </m:rPr>
                      <m:t>,</m:t>
                    </m:r>
                    <m:r>
                      <m:t>A</m:t>
                    </m:r>
                    <m:r>
                      <m:rPr>
                        <m:sty m:val="p"/>
                      </m:rPr>
                      <m:t>,</m:t>
                    </m:r>
                    <m:r>
                      <m:t>V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r>
                  <m:t>γ</m:t>
                </m:r>
                <m:r>
                  <m:rPr>
                    <m:sty m:val="p"/>
                  </m:rPr>
                  <m:t>(</m:t>
                </m:r>
                <m:r>
                  <m:t>Z</m:t>
                </m:r>
                <m:r>
                  <m:rPr>
                    <m:sty m:val="p"/>
                  </m:rPr>
                  <m:t>,</m:t>
                </m:r>
                <m:r>
                  <m:t>A</m:t>
                </m:r>
                <m:r>
                  <m:rPr>
                    <m:sty m:val="p"/>
                  </m:rPr>
                  <m:t>,</m:t>
                </m:r>
                <m:r>
                  <m:t>V</m:t>
                </m:r>
                <m:r>
                  <m:rPr>
                    <m:sty m:val="p"/>
                  </m:rPr>
                  <m:t>;</m:t>
                </m:r>
                <m:r>
                  <m:t>β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pPr>
              <w:spacing w:after="16"/>
            </w:pPr>
            <w:r>
              <w:t xml:space="preserve">with</w:t>
            </w:r>
            <w:r>
              <w:t xml:space="preserve"> </w:t>
            </w:r>
            <m:oMath>
              <m:r>
                <m:t>γ</m:t>
              </m:r>
            </m:oMath>
            <w:r>
              <w:t xml:space="preserve"> </w:t>
            </w:r>
            <w:r>
              <w:t xml:space="preserve">a known function,</w:t>
            </w:r>
            <w:r>
              <w:t xml:space="preserve"> </w:t>
            </w:r>
            <m:oMath>
              <m:r>
                <m:t>β</m:t>
              </m:r>
            </m:oMath>
            <w:r>
              <w:t xml:space="preserve"> </w:t>
            </w:r>
            <w:r>
              <w:t xml:space="preserve">an unknown parameter, and</w:t>
            </w:r>
            <w:r>
              <w:t xml:space="preserve"> </w:t>
            </w:r>
            <m:oMath>
              <m:r>
                <m:t>γ</m:t>
              </m:r>
              <m:r>
                <m:rPr>
                  <m:sty m:val="p"/>
                </m:rPr>
                <m:t>(</m:t>
              </m:r>
              <m:r>
                <m:t>Z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V</m:t>
              </m:r>
              <m:r>
                <m:rPr>
                  <m:sty m:val="p"/>
                </m:rPr>
                <m:t>;</m:t>
              </m:r>
              <m:r>
                <m:t>β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It models the effect of the observed treatment level versus level 0 among those with that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V</m:t>
              </m:r>
            </m:oMath>
            <w:r>
              <w:t xml:space="preserve">, and observed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Its parameters are identified by g-estimation under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Z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V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Z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V</m:t>
                  </m:r>
                </m:e>
              </m:d>
              <m:r>
                <m:t>​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 multiplicative analog is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Z</m:t>
                  </m:r>
                  <m:r>
                    <m:rPr>
                      <m:sty m:val="p"/>
                    </m:rPr>
                    <m:t>,</m:t>
                  </m:r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V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Z</m:t>
                  </m:r>
                  <m:r>
                    <m:rPr>
                      <m:sty m:val="p"/>
                    </m:rPr>
                    <m:t>,</m:t>
                  </m:r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V</m:t>
                  </m:r>
                </m:e>
              </m:d>
              <m:r>
                <m:t>​</m:t>
              </m:r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γ</m:t>
                  </m:r>
                  <m:r>
                    <m:rPr>
                      <m:sty m:val="p"/>
                    </m:rPr>
                    <m:t>(</m:t>
                  </m:r>
                  <m:r>
                    <m:t>Z</m:t>
                  </m:r>
                  <m:r>
                    <m:rPr>
                      <m:sty m:val="p"/>
                    </m:rPr>
                    <m:t>,</m:t>
                  </m:r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V</m:t>
                  </m:r>
                  <m:r>
                    <m:rPr>
                      <m:sty m:val="p"/>
                    </m:rPr>
                    <m:t>;</m:t>
                  </m:r>
                  <m:r>
                    <m:t>β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(Hernán and Robins 2020, 218)</w:t>
            </w:r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Models also allow several proposed instruments at once, continuous treatments, and causal risk ratios for dichotomous outcomes</w:t>
      </w:r>
      <w:r>
        <w:t xml:space="preserve"> </w:t>
      </w:r>
      <w:r>
        <w:t xml:space="preserve">(Hernán and Robins 2020, 216)</w:t>
      </w:r>
      <w:r>
        <w:t xml:space="preserve">.</w:t>
      </w:r>
      <w:r>
        <w:t xml:space="preserve"> </w:t>
      </w:r>
      <w:r>
        <w:t xml:space="preserve">Nested versions of these structural mean models extend IV methods to time-varying treatments and confounders</w:t>
      </w:r>
      <w:r>
        <w:t xml:space="preserve"> </w:t>
      </w:r>
      <w:r>
        <w:t xml:space="preserve">(Hernán and Robins 2020, 218)</w:t>
      </w:r>
      <w:r>
        <w:t xml:space="preserve">.</w:t>
      </w:r>
    </w:p>
    <w:bookmarkEnd w:id="35"/>
    <w:bookmarkEnd w:id="36"/>
    <w:bookmarkStart w:id="42" w:name="X897df2f7d2435be36d261ce5fa8523492f094dd"/>
    <w:p>
      <w:pPr>
        <w:pStyle w:val="Heading2"/>
      </w:pPr>
      <w:r>
        <w:t xml:space="preserve">4 16.4 An Alternative Fourth Condition: Monotonicity (pp. 217-220)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In the double-blind trial, let</w:t>
      </w:r>
      <w:r>
        <w:t xml:space="preserve"> </w:t>
      </w:r>
      <m:oMath>
        <m:sSup>
          <m:e>
            <m:r>
              <m:t>A</m:t>
            </m:r>
          </m:e>
          <m:sup>
            <m:r>
              <m:t>z</m:t>
            </m:r>
            <m:r>
              <m:rPr>
                <m:sty m:val="p"/>
              </m:rPr>
              <m:t>=</m:t>
            </m:r>
            <m:r>
              <m:t>1</m:t>
            </m:r>
          </m:sup>
        </m:sSup>
      </m:oMath>
      <w:r>
        <w:t xml:space="preserve"> </w:t>
      </w:r>
      <w:r>
        <w:t xml:space="preserve">and</w:t>
      </w:r>
      <w:r>
        <w:t xml:space="preserve"> </w:t>
      </w:r>
      <m:oMath>
        <m:sSup>
          <m:e>
            <m:r>
              <m:t>A</m:t>
            </m:r>
          </m:e>
          <m:sup>
            <m:r>
              <m:t>z</m:t>
            </m:r>
            <m:r>
              <m:rPr>
                <m:sty m:val="p"/>
              </m:rPr>
              <m:t>=</m:t>
            </m:r>
            <m:r>
              <m:t>0</m:t>
            </m:r>
          </m:sup>
        </m:sSup>
      </m:oMath>
      <w:r>
        <w:t xml:space="preserve"> </w:t>
      </w:r>
      <w:r>
        <w:t xml:space="preserve">be the treatment an individual would take if assigned to treatment or to no treatment.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37" w:name="def-compliance-types"/>
          <w:p>
            <w:pPr>
              <w:pStyle w:val="BodyText"/>
            </w:pPr>
            <w:r>
              <w:rPr>
                <w:b/>
                <w:bCs/>
              </w:rPr>
              <w:t xml:space="preserve">Definition 2 (Compliance Types (Principal Strata))</w:t>
            </w:r>
            <w:r>
              <w:t xml:space="preserve"> </w:t>
            </w:r>
            <w:r>
              <w:t xml:space="preserve"> </w:t>
            </w:r>
          </w:p>
          <w:p>
            <w:pPr>
              <w:pStyle w:val="Compact"/>
              <w:numPr>
                <w:ilvl w:val="0"/>
                <w:numId w:val="1013"/>
              </w:numPr>
            </w:pPr>
            <w:r>
              <w:rPr>
                <w:b/>
                <w:bCs/>
              </w:rPr>
              <w:t xml:space="preserve">Always-takers</w:t>
            </w:r>
            <w:r>
              <w:t xml:space="preserve">:</w:t>
            </w:r>
            <w:r>
              <w:t xml:space="preserve"> </w:t>
            </w:r>
            <m:oMath>
              <m:sSup>
                <m:e>
                  <m:r>
                    <m:t>A</m:t>
                  </m:r>
                </m:e>
                <m:sup>
                  <m:r>
                    <m:t>z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p>
                <m:e>
                  <m:r>
                    <m:t>A</m:t>
                  </m:r>
                </m:e>
                <m:sup>
                  <m:r>
                    <m:t>z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13"/>
              </w:numPr>
            </w:pPr>
            <w:r>
              <w:rPr>
                <w:b/>
                <w:bCs/>
              </w:rPr>
              <w:t xml:space="preserve">Never-takers</w:t>
            </w:r>
            <w:r>
              <w:t xml:space="preserve">:</w:t>
            </w:r>
            <w:r>
              <w:t xml:space="preserve"> </w:t>
            </w:r>
            <m:oMath>
              <m:sSup>
                <m:e>
                  <m:r>
                    <m:t>A</m:t>
                  </m:r>
                </m:e>
                <m:sup>
                  <m:r>
                    <m:t>z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p>
                <m:e>
                  <m:r>
                    <m:t>A</m:t>
                  </m:r>
                </m:e>
                <m:sup>
                  <m:r>
                    <m:t>z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13"/>
              </w:numPr>
            </w:pPr>
            <w:r>
              <w:rPr>
                <w:b/>
                <w:bCs/>
              </w:rPr>
              <w:t xml:space="preserve">Compliers</w:t>
            </w:r>
            <w:r>
              <w:t xml:space="preserve"> </w:t>
            </w:r>
            <w:r>
              <w:t xml:space="preserve">(cooperative):</w:t>
            </w:r>
            <w:r>
              <w:t xml:space="preserve"> </w:t>
            </w:r>
            <m:oMath>
              <m:sSup>
                <m:e>
                  <m:r>
                    <m:t>A</m:t>
                  </m:r>
                </m:e>
                <m:sup>
                  <m:r>
                    <m:t>z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p>
                <m:e>
                  <m:r>
                    <m:t>A</m:t>
                  </m:r>
                </m:e>
                <m:sup>
                  <m:r>
                    <m:t>z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13"/>
              </w:numPr>
            </w:pPr>
            <w:r>
              <w:rPr>
                <w:b/>
                <w:bCs/>
              </w:rPr>
              <w:t xml:space="preserve">Defiers</w:t>
            </w:r>
            <w:r>
              <w:t xml:space="preserve"> </w:t>
            </w:r>
            <w:r>
              <w:t xml:space="preserve">(contrarians):</w:t>
            </w:r>
            <w:r>
              <w:t xml:space="preserve"> </w:t>
            </w:r>
            <m:oMath>
              <m:sSup>
                <m:e>
                  <m:r>
                    <m:t>A</m:t>
                  </m:r>
                </m:e>
                <m:sup>
                  <m:r>
                    <m:t>z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p>
                <m:e>
                  <m:r>
                    <m:t>A</m:t>
                  </m:r>
                </m:e>
                <m:sup>
                  <m:r>
                    <m:t>z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.</w:t>
            </w:r>
          </w:p>
          <w:bookmarkEnd w:id="37"/>
        </w:tc>
      </w:tr>
    </w:tbl>
    <w:p>
      <w:pPr>
        <w:pStyle w:val="FirstParagraph"/>
      </w:pPr>
      <w:r>
        <w:t xml:space="preserve">These strata are not identified: someone with</w:t>
      </w:r>
      <w:r>
        <w:t xml:space="preserve"> </w:t>
      </w:r>
      <m:oMath>
        <m:r>
          <m:t>Z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may be a complier or an always-taker;</w:t>
      </w:r>
      <w:r>
        <w:t xml:space="preserve"> </w:t>
      </w:r>
      <w:r>
        <w:t xml:space="preserve">someone with</w:t>
      </w:r>
      <w:r>
        <w:t xml:space="preserve"> </w:t>
      </w:r>
      <m:oMath>
        <m:r>
          <m:t>Z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may be a defier or a never-taker.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38" w:name="def-monotonicity"/>
          <w:p>
            <w:pPr>
              <w:pStyle w:val="BodyText"/>
            </w:pPr>
            <w:r>
              <w:rPr>
                <w:b/>
                <w:bCs/>
              </w:rPr>
              <w:t xml:space="preserve">Definition 3 (Monotonicity)</w:t>
            </w:r>
            <w:r>
              <w:t xml:space="preserve"> </w:t>
            </w:r>
            <w:r>
              <w:rPr>
                <w:b/>
                <w:bCs/>
              </w:rPr>
              <w:t xml:space="preserve">Monotonicity</w:t>
            </w:r>
            <w:r>
              <w:t xml:space="preserve"> </w:t>
            </w:r>
            <w:r>
              <w:t xml:space="preserve">holds when there are no defiers, i.e.,</w:t>
            </w:r>
            <w:r>
              <w:t xml:space="preserve"> </w:t>
            </w:r>
            <m:oMath>
              <m:sSup>
                <m:e>
                  <m:r>
                    <m:t>A</m:t>
                  </m:r>
                </m:e>
                <m:sup>
                  <m:r>
                    <m:t>z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≥</m:t>
              </m:r>
              <m:sSup>
                <m:e>
                  <m:r>
                    <m:t>A</m:t>
                  </m:r>
                </m:e>
                <m:sup>
                  <m:r>
                    <m:t>z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</m:oMath>
            <w:r>
              <w:t xml:space="preserve"> </w:t>
            </w:r>
            <w:r>
              <w:t xml:space="preserve">for all individuals.</w:t>
            </w:r>
          </w:p>
          <w:bookmarkEnd w:id="38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39" w:name="thm-late"/>
          <w:p>
            <w:pPr>
              <w:pStyle w:val="BodyText"/>
            </w:pPr>
            <w:r>
              <w:rPr>
                <w:b/>
                <w:bCs/>
              </w:rPr>
              <w:t xml:space="preserve">Theorem 2 (IV Estimand under Monotonicity)</w:t>
            </w:r>
            <w:r>
              <w:t xml:space="preserve"> </w:t>
            </w:r>
            <w:r>
              <w:t xml:space="preserve">Under instrumental conditions (i)-(iii) with a dichotomous causal instrument that is randomly assigned, and monotonicity as condition (iv),</w:t>
            </w:r>
            <w:r>
              <w:t xml:space="preserve"> </w:t>
            </w:r>
            <w:r>
              <w:t xml:space="preserve">the usual IV estimand equals the average causal effect in the compliers,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p>
                    </m:sSup>
                    <m:r>
                      <m:rPr>
                        <m:sty m:val="p"/>
                      </m:rPr>
                      <m:t>−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  <m:r>
                      <m:rPr>
                        <m:sty m:val="p"/>
                      </m:rPr>
                      <m:t>∣</m:t>
                    </m:r>
                    <m:sSup>
                      <m:e>
                        <m:r>
                          <m:t>A</m:t>
                        </m:r>
                      </m:e>
                      <m:sup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p>
                    </m:sSup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,</m:t>
                    </m:r>
                    <m:sSup>
                      <m:e>
                        <m:r>
                          <m:t>A</m:t>
                        </m:r>
                      </m:e>
                      <m:sup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r>
              <w:t xml:space="preserve">not the average causal effect in the population</w:t>
            </w:r>
            <w:r>
              <w:t xml:space="preserve"> </w:t>
            </w:r>
            <w:r>
              <w:t xml:space="preserve">(Hernán and Robins 2020, 218)</w:t>
            </w:r>
            <w:r>
              <w:t xml:space="preserve">.</w:t>
            </w:r>
          </w:p>
          <w:bookmarkEnd w:id="39"/>
        </w:tc>
      </w:tr>
    </w:tbl>
    <w:p>
      <w:pPr>
        <w:pStyle w:val="BodyText"/>
      </w:pPr>
      <w:r>
        <w:t xml:space="preserve">Sketch: the intention-to-treat effect is a weighted average over the four strata;</w:t>
      </w:r>
      <w:r>
        <w:t xml:space="preserve"> </w:t>
      </w:r>
      <w:r>
        <w:t xml:space="preserve">it is zero in always-takers and never-takers (their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does not change with</w:t>
      </w:r>
      <w:r>
        <w:t xml:space="preserve"> </w:t>
      </w:r>
      <m:oMath>
        <m:r>
          <m:t>Z</m:t>
        </m:r>
      </m:oMath>
      <w:r>
        <w:t xml:space="preserve">, and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acts only through</w:t>
      </w:r>
      <w:r>
        <w:t xml:space="preserve"> </w:t>
      </w:r>
      <m:oMath>
        <m:r>
          <m:t>A</m:t>
        </m:r>
      </m:oMath>
      <w:r>
        <w:t xml:space="preserve">),</w:t>
      </w:r>
      <w:r>
        <w:t xml:space="preserve"> </w:t>
      </w:r>
      <w:r>
        <w:t xml:space="preserve">and there are no defiers.</w:t>
      </w:r>
      <w:r>
        <w:t xml:space="preserve"> </w:t>
      </w:r>
      <w:r>
        <w:t xml:space="preserve">So the numerator is the effect in compliers times the proportion of compliers, which is the denominator.</w:t>
      </w:r>
    </w:p>
    <w:p>
      <w:pPr>
        <w:pStyle w:val="BodyText"/>
      </w:pPr>
      <w:r>
        <w:t xml:space="preserve">The book’s main text refers to</w:t>
      </w:r>
      <w:r>
        <w:t xml:space="preserve"> </w:t>
      </w:r>
      <w:r>
        <w:t xml:space="preserve">“Technical Point 16.6”</w:t>
      </w:r>
      <w:r>
        <w:t xml:space="preserve"> </w:t>
      </w:r>
      <w:r>
        <w:t xml:space="preserve">for this proof;</w:t>
      </w:r>
      <w:r>
        <w:t xml:space="preserve"> </w:t>
      </w:r>
      <w:r>
        <w:t xml:space="preserve">the proof is in Technical Point 16.7</w:t>
      </w:r>
      <w:r>
        <w:t xml:space="preserve"> </w:t>
      </w:r>
      <w:r>
        <w:t xml:space="preserve">(Hernán and Robins 2020, 218, 224)</w:t>
      </w:r>
      <w:r>
        <w:t xml:space="preserve">.</w:t>
      </w:r>
    </w:p>
    <w:p>
      <w:pPr>
        <w:pStyle w:val="BodyText"/>
      </w:pPr>
      <w:r>
        <w:t xml:space="preserve">This estimand is often called the</w:t>
      </w:r>
      <w:r>
        <w:t xml:space="preserve"> </w:t>
      </w:r>
      <w:r>
        <w:rPr>
          <w:b/>
          <w:bCs/>
        </w:rPr>
        <w:t xml:space="preserve">complier average causal effect (CACE)</w:t>
      </w:r>
      <w:r>
        <w:t xml:space="preserve"> </w:t>
      </w:r>
      <w:r>
        <w:t xml:space="preserve">or</w:t>
      </w:r>
      <w:r>
        <w:t xml:space="preserve"> </w:t>
      </w:r>
      <w:r>
        <w:rPr>
          <w:b/>
          <w:bCs/>
        </w:rPr>
        <w:t xml:space="preserve">local average treatment effect (LATE)</w:t>
      </w:r>
      <w:r>
        <w:t xml:space="preserve">: an effect in a subpopulation, not the population average.</w:t>
      </w:r>
      <w:r>
        <w:t xml:space="preserve"> </w:t>
      </w:r>
      <w:r>
        <w:t xml:space="preserve">Greenland calls compliers</w:t>
      </w:r>
      <w:r>
        <w:t xml:space="preserve"> </w:t>
      </w:r>
      <w:r>
        <w:t xml:space="preserve">“cooperative”</w:t>
      </w:r>
      <w:r>
        <w:t xml:space="preserve"> </w:t>
      </w:r>
      <w:r>
        <w:t xml:space="preserve">and defiers</w:t>
      </w:r>
      <w:r>
        <w:t xml:space="preserve"> </w:t>
      </w:r>
      <w:r>
        <w:t xml:space="preserve">“non-cooperative”</w:t>
      </w:r>
      <w:r>
        <w:t xml:space="preserve"> </w:t>
      </w:r>
      <w:r>
        <w:t xml:space="preserve">to avoid confusion with observed compliance in trials</w:t>
      </w:r>
      <w:r>
        <w:t xml:space="preserve"> </w:t>
      </w:r>
      <w:r>
        <w:t xml:space="preserve">(Hernán and Robins 2020, 219)</w:t>
      </w:r>
      <w:r>
        <w:t xml:space="preserve">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16" w:after="16"/>
            </w:pPr>
            <w:r>
              <w:t xml:space="preserve">Proof (Proof (Technical Point 16.7))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 (Proof (Technical Point 16.7)). </w:t>
            </w:r>
            <w:r>
              <w:t xml:space="preserve">Write the intention-to-treat effect as a weighted average over the strata (AT: always-takers, NT: never-takers, C: compliers, D: defiers):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p>
                    </m:sSup>
                    <m:r>
                      <m:rPr>
                        <m:sty m:val="p"/>
                      </m:rPr>
                      <m:t>−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nary>
                  <m:naryPr>
                    <m:chr m:val="∑"/>
                    <m:limLoc m:val="undOvr"/>
                    <m:subHide m:val="off"/>
                    <m:supHide m:val="on"/>
                  </m:naryPr>
                  <m:sub>
                    <m:r>
                      <m:t>s</m:t>
                    </m:r>
                    <m:r>
                      <m:rPr>
                        <m:sty m:val="p"/>
                      </m:rPr>
                      <m:t>∈</m:t>
                    </m:r>
                    <m:r>
                      <m:rPr>
                        <m:sty m:val="p"/>
                      </m:rPr>
                      <m:t>{</m:t>
                    </m:r>
                    <m:r>
                      <m:t>A</m:t>
                    </m:r>
                    <m:r>
                      <m:t>T</m:t>
                    </m:r>
                    <m:r>
                      <m:rPr>
                        <m:sty m:val="p"/>
                      </m:rPr>
                      <m:t>,</m:t>
                    </m:r>
                    <m:r>
                      <m:t>N</m:t>
                    </m:r>
                    <m:r>
                      <m:t>T</m:t>
                    </m:r>
                    <m:r>
                      <m:rPr>
                        <m:sty m:val="p"/>
                      </m:rPr>
                      <m:t>,</m:t>
                    </m:r>
                    <m:r>
                      <m:t>C</m:t>
                    </m:r>
                    <m:r>
                      <m:rPr>
                        <m:sty m:val="p"/>
                      </m:rPr>
                      <m:t>,</m:t>
                    </m:r>
                    <m:r>
                      <m:t>D</m:t>
                    </m:r>
                    <m:r>
                      <m:rPr>
                        <m:sty m:val="p"/>
                      </m:rPr>
                      <m:t>}</m:t>
                    </m:r>
                  </m:sub>
                  <m:sup>
                    <m:r>
                      <m:t>​</m:t>
                    </m:r>
                  </m:sup>
                  <m:e>
                    <m:r>
                      <m:rPr>
                        <m:sty m:val="p"/>
                      </m:rPr>
                      <m:t>E</m:t>
                    </m:r>
                  </m:e>
                </m:nary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p>
                    </m:sSup>
                    <m:r>
                      <m:rPr>
                        <m:sty m:val="p"/>
                      </m:rPr>
                      <m:t>−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  <m:r>
                      <m:rPr>
                        <m:sty m:val="p"/>
                      </m:rPr>
                      <m:t>∣</m:t>
                    </m:r>
                    <m:r>
                      <m:t>s</m:t>
                    </m:r>
                  </m:e>
                </m:d>
                <m:r>
                  <m:t>​</m:t>
                </m:r>
                <m:r>
                  <m:t> 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r>
                  <m:t>s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Compact"/>
              <w:numPr>
                <w:ilvl w:val="0"/>
                <w:numId w:val="1014"/>
              </w:numPr>
            </w:pPr>
            <w:r>
              <w:t xml:space="preserve">In AT and NT,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 </w:t>
            </w:r>
            <w:r>
              <w:t xml:space="preserve">does not change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 and by the individual-level exclusion restriction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 </w:t>
            </w:r>
            <w:r>
              <w:t xml:space="preserve">has no other effect on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 so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z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  <m:r>
                    <m:rPr>
                      <m:sty m:val="p"/>
                    </m:rPr>
                    <m:t>−</m:t>
                  </m:r>
                  <m:sSup>
                    <m:e>
                      <m:r>
                        <m:t>Y</m:t>
                      </m:r>
                    </m:e>
                    <m:sup>
                      <m:r>
                        <m:t>z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t>T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z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  <m:r>
                    <m:rPr>
                      <m:sty m:val="p"/>
                    </m:rPr>
                    <m:t>−</m:t>
                  </m:r>
                  <m:sSup>
                    <m:e>
                      <m:r>
                        <m:t>Y</m:t>
                      </m:r>
                    </m:e>
                    <m:sup>
                      <m:r>
                        <m:t>z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N</m:t>
                  </m:r>
                  <m:r>
                    <m:t>T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14"/>
              </w:numPr>
            </w:pPr>
            <w:r>
              <w:t xml:space="preserve">Under monotonicity,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D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</w:p>
          <w:p>
            <w:pPr>
              <w:pStyle w:val="FirstParagraph"/>
            </w:pPr>
            <w:r>
              <w:t xml:space="preserve">Hence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z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  <m:r>
                    <m:rPr>
                      <m:sty m:val="p"/>
                    </m:rPr>
                    <m:t>−</m:t>
                  </m:r>
                  <m:sSup>
                    <m:e>
                      <m:r>
                        <m:t>Y</m:t>
                      </m:r>
                    </m:e>
                    <m:sup>
                      <m:r>
                        <m:t>z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z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  <m:r>
                    <m:rPr>
                      <m:sty m:val="p"/>
                    </m:rPr>
                    <m:t>−</m:t>
                  </m:r>
                  <m:sSup>
                    <m:e>
                      <m:r>
                        <m:t>Y</m:t>
                      </m:r>
                    </m:e>
                    <m:sup>
                      <m:r>
                        <m:t>z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C</m:t>
                  </m:r>
                </m:e>
              </m:d>
              <m:r>
                <m:t>​</m:t>
              </m:r>
              <m:r>
                <m:t> 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C</m:t>
              </m:r>
              <m:r>
                <m:rPr>
                  <m:sty m:val="p"/>
                </m:rPr>
                <m:t>]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In compliers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Z</m:t>
              </m:r>
            </m:oMath>
            <w:r>
              <w:t xml:space="preserve">, so the effect of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 </w:t>
            </w:r>
            <w:r>
              <w:t xml:space="preserve">equals the effect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: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z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  <m:r>
                    <m:rPr>
                      <m:sty m:val="p"/>
                    </m:rPr>
                    <m:t>−</m:t>
                  </m:r>
                  <m:sSup>
                    <m:e>
                      <m:r>
                        <m:t>Y</m:t>
                      </m:r>
                    </m:e>
                    <m:sup>
                      <m:r>
                        <m:t>z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C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  <m:r>
                    <m:rPr>
                      <m:sty m:val="p"/>
                    </m:rPr>
                    <m:t>−</m:t>
                  </m:r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C</m:t>
                  </m:r>
                </m:e>
              </m:d>
              <m:r>
                <m:t>​</m:t>
              </m:r>
            </m:oMath>
            <w:r>
              <w:t xml:space="preserve">, and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p>
                    </m:sSup>
                    <m:r>
                      <m:rPr>
                        <m:sty m:val="p"/>
                      </m:rPr>
                      <m:t>−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  <m:r>
                      <m:rPr>
                        <m:sty m:val="p"/>
                      </m:rPr>
                      <m:t>∣</m:t>
                    </m:r>
                    <m:r>
                      <m:t>C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f>
                  <m:fPr>
                    <m:type m:val="bar"/>
                  </m:fPr>
                  <m:num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z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−</m:t>
                        </m:r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z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</m:e>
                    </m:d>
                    <m:r>
                      <m:t>​</m:t>
                    </m:r>
                  </m:num>
                  <m:den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C</m:t>
                    </m:r>
                    <m:r>
                      <m:rPr>
                        <m:sty m:val="p"/>
                      </m:rPr>
                      <m:t>]</m:t>
                    </m:r>
                  </m:den>
                </m:f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Random assignment implies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rPr>
                  <m:sty m:val="p"/>
                </m:rPr>
                <m:t>{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z</m:t>
                  </m:r>
                </m:sup>
              </m:sSup>
              <m:r>
                <m:rPr>
                  <m:sty m:val="p"/>
                </m:rPr>
                <m:t>,</m:t>
              </m:r>
              <m:sSup>
                <m:e>
                  <m:r>
                    <m:t>A</m:t>
                  </m:r>
                </m:e>
                <m:sup>
                  <m:r>
                    <m:t>z</m:t>
                  </m:r>
                </m:sup>
              </m:sSup>
              <m:r>
                <m:rPr>
                  <m:sty m:val="p"/>
                </m:rPr>
                <m:t>;</m:t>
              </m:r>
              <m:r>
                <m:t> </m:t>
              </m:r>
              <m:r>
                <m:t>z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;</m:t>
              </m:r>
              <m:r>
                <m:t> 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}</m:t>
              </m:r>
            </m:oMath>
            <w:r>
              <w:t xml:space="preserve">, so with consistency the numerator equals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Z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Z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e>
              </m:d>
              <m:r>
                <m:t>​</m:t>
              </m:r>
            </m:oMath>
            <w:r>
              <w:t xml:space="preserve">.</w:t>
            </w:r>
            <w:r>
              <w:t xml:space="preserve"> </w:t>
            </w:r>
            <w:r>
              <w:t xml:space="preserve">For the denominator,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t>T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A</m:t>
                  </m:r>
                </m:e>
                <m:sup>
                  <m:r>
                    <m:t>z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Z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N</m:t>
              </m:r>
              <m:r>
                <m:t>T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A</m:t>
                  </m:r>
                </m:e>
                <m:sup>
                  <m:r>
                    <m:t>z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r>
                <m:t>Z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oMath>
            <w:r>
              <w:t xml:space="preserve">;</w:t>
            </w:r>
            <w:r>
              <w:t xml:space="preserve"> </w:t>
            </w:r>
            <w:r>
              <w:t xml:space="preserve">with no defiers,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C</m:t>
                    </m:r>
                    <m:r>
                      <m:rPr>
                        <m:sty m:val="p"/>
                      </m:rPr>
                      <m:t>]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A</m:t>
                    </m:r>
                    <m:r>
                      <m:t>T</m:t>
                    </m:r>
                    <m:r>
                      <m:rPr>
                        <m:sty m:val="p"/>
                      </m:rPr>
                      <m:t>]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N</m:t>
                    </m:r>
                    <m:r>
                      <m:t>T</m:t>
                    </m:r>
                    <m:r>
                      <m:rPr>
                        <m:sty m:val="p"/>
                      </m:rPr>
                      <m:t>]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Z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]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rPr>
                            <m:sty m:val="p"/>
                          </m:rPr>
                          <m:t>Pr</m:t>
                        </m:r>
                        <m:r>
                          <m:rPr>
                            <m:sty m:val="p"/>
                          </m:rPr>
                          <m:t>[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]</m:t>
                        </m:r>
                      </m:e>
                    </m:d>
                    <m:r>
                      <m:t>​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Z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]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Z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]</m:t>
                    </m:r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p/>
        </w:tc>
      </w:tr>
    </w:tbl>
    <w:p>
      <w:pPr>
        <w:pStyle w:val="FirstParagraph"/>
      </w:pPr>
      <w:r>
        <w:t xml:space="preserve">The result is due to Imbens and Angrist (1994);</w:t>
      </w:r>
      <w:r>
        <w:t xml:space="preserve"> </w:t>
      </w:r>
      <w:r>
        <w:t xml:space="preserve">Baker and Lindeman (1994) had a related proof for a binary outcome</w:t>
      </w:r>
      <w:r>
        <w:t xml:space="preserve"> </w:t>
      </w:r>
      <w:r>
        <w:t xml:space="preserve">(Hernán and Robins 2020, 224)</w:t>
      </w:r>
      <w:r>
        <w:t xml:space="preserve">.</w:t>
      </w:r>
      <w:r>
        <w:t xml:space="preserve"> </w:t>
      </w:r>
      <w:r>
        <w:t xml:space="preserve">For a surrogate instrument</w:t>
      </w:r>
      <w:r>
        <w:t xml:space="preserve"> </w:t>
      </w:r>
      <m:oMath>
        <m:r>
          <m:t>Z</m:t>
        </m:r>
      </m:oMath>
      <w:r>
        <w:t xml:space="preserve">, Hernán and Robins (2006b) showed that the usual IV estimator still identifies the effect in the compliers (defined by</w:t>
      </w:r>
      <w:r>
        <w:t xml:space="preserve"> </w:t>
      </w:r>
      <m:oMath>
        <m:sSub>
          <m:e>
            <m:r>
              <m:t>U</m:t>
            </m:r>
          </m:e>
          <m:sub>
            <m:r>
              <m:t>Z</m:t>
            </m:r>
          </m:sub>
        </m:sSub>
      </m:oMath>
      <w:r>
        <w:t xml:space="preserve">),</w:t>
      </w:r>
      <w:r>
        <w:t xml:space="preserve"> </w:t>
      </w:r>
      <w:r>
        <w:t xml:space="preserve">but only if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is independent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given</w:t>
      </w:r>
      <w:r>
        <w:t xml:space="preserve"> </w:t>
      </w:r>
      <m:oMath>
        <m:sSub>
          <m:e>
            <m:r>
              <m:t>U</m:t>
            </m:r>
          </m:e>
          <m:sub>
            <m:r>
              <m:t>Z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U</m:t>
            </m:r>
          </m:e>
          <m:sub>
            <m:r>
              <m:t>Z</m:t>
            </m:r>
          </m:sub>
        </m:sSub>
      </m:oMath>
      <w:r>
        <w:t xml:space="preserve"> </w:t>
      </w:r>
      <w:r>
        <w:t xml:space="preserve">is binary, and that independence is rarely plausible unless</w:t>
      </w:r>
      <w:r>
        <w:t xml:space="preserve"> </w:t>
      </w:r>
      <m:oMath>
        <m:sSub>
          <m:e>
            <m:r>
              <m:t>U</m:t>
            </m:r>
          </m:e>
          <m:sub>
            <m:r>
              <m:t>Z</m:t>
            </m:r>
          </m:sub>
        </m:sSub>
      </m:oMath>
      <w:r>
        <w:t xml:space="preserve"> </w:t>
      </w:r>
      <w:r>
        <w:t xml:space="preserve">is continuous</w:t>
      </w:r>
      <w:r>
        <w:t xml:space="preserve"> </w:t>
      </w:r>
      <w:r>
        <w:t xml:space="preserve">(Hernán and Robins 2020, 224)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Start w:id="40" w:name="compliers-in-an-observational-study"/>
    <w:p>
      <w:pPr>
        <w:pStyle w:val="Heading3"/>
      </w:pPr>
      <w:r>
        <w:t xml:space="preserve">4.1 Compliers in an Observational Study</w:t>
      </w:r>
    </w:p>
    <w:p>
      <w:pPr>
        <w:pStyle w:val="FirstParagraph"/>
      </w:pPr>
      <w:r>
        <w:t xml:space="preserve">There is no assignment, but</w:t>
      </w:r>
      <w:r>
        <w:t xml:space="preserve"> </w:t>
      </w:r>
      <w:r>
        <w:t xml:space="preserve">“compliers”</w:t>
      </w:r>
      <w:r>
        <w:t xml:space="preserve"> </w:t>
      </w:r>
      <w:r>
        <w:t xml:space="preserve">still means</w:t>
      </w:r>
      <w:r>
        <w:t xml:space="preserve"> </w:t>
      </w:r>
      <m:oMath>
        <m:r>
          <m:rPr>
            <m:sty m:val="p"/>
          </m:rPr>
          <m:t>(</m:t>
        </m:r>
        <m:sSup>
          <m:e>
            <m:r>
              <m:t>A</m:t>
            </m:r>
          </m:e>
          <m:sup>
            <m:r>
              <m:t>z</m:t>
            </m:r>
            <m:r>
              <m:rPr>
                <m:sty m:val="p"/>
              </m:rPr>
              <m:t>=</m:t>
            </m:r>
            <m:r>
              <m:t>1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,</m:t>
        </m:r>
        <m:sSup>
          <m:e>
            <m:r>
              <m:t>A</m:t>
            </m:r>
          </m:e>
          <m:sup>
            <m:r>
              <m:t>z</m:t>
            </m:r>
            <m:r>
              <m:rPr>
                <m:sty m:val="p"/>
              </m:rPr>
              <m:t>=</m:t>
            </m:r>
            <m:r>
              <m:t>0</m:t>
            </m:r>
          </m:sup>
        </m:sSup>
        <m:r>
          <m:rPr>
            <m:sty m:val="p"/>
          </m:rPr>
          <m:t>=</m:t>
        </m:r>
        <m:r>
          <m:t>0</m:t>
        </m:r>
        <m:r>
          <m:rPr>
            <m:sty m:val="p"/>
          </m:rPr>
          <m:t>)</m:t>
        </m:r>
      </m:oMath>
      <w:r>
        <w:t xml:space="preserve">:</w:t>
      </w:r>
      <w:r>
        <w:t xml:space="preserve"> </w:t>
      </w:r>
      <w:r>
        <w:t xml:space="preserve">in NHEFS, people who would quit smoking in a high-price state and not in a low-price state.</w:t>
      </w:r>
      <w:r>
        <w:t xml:space="preserve"> </w:t>
      </w:r>
      <w:r>
        <w:t xml:space="preserve">If there are no defiers and the causal instrument is dichotomous, 2.4 kg estimates the effect in the compliers</w:t>
      </w:r>
      <w:r>
        <w:t xml:space="preserve"> </w:t>
      </w:r>
      <w:r>
        <w:t xml:space="preserve">(Hernán and Robins 2020, 218–19)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End w:id="40"/>
    <w:bookmarkStart w:id="41" w:name="criticisms-of-the-complier-effect"/>
    <w:p>
      <w:pPr>
        <w:pStyle w:val="Heading3"/>
      </w:pPr>
      <w:r>
        <w:t xml:space="preserve">4.2 Criticisms of the Complier Effect</w:t>
      </w:r>
    </w:p>
    <w:p>
      <w:pPr>
        <w:pStyle w:val="FirstParagraph"/>
      </w:pPr>
      <w:r>
        <w:t xml:space="preserve">Monotonicity was welcomed in the mid-1990s as the salvation of IV methods, but the book raises four problems</w:t>
      </w:r>
      <w:r>
        <w:t xml:space="preserve"> </w:t>
      </w:r>
      <w:r>
        <w:t xml:space="preserve">(Hernán and Robins 2020, 219–20)</w:t>
      </w:r>
      <w:r>
        <w:t xml:space="preserve">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Relevance</w:t>
      </w:r>
      <w:r>
        <w:t xml:space="preserve">: compliers cannot be identified, and their proportion (the denominator, about 6% in NHEFS) varies across instruments and studies, so the effect is hard to use for decisions.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Monotonicity may fail in observational studies</w:t>
      </w:r>
      <w:r>
        <w:t xml:space="preserve">, especially when treatment decisions weigh several criteria.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Surrogate instruments</w:t>
      </w:r>
      <w:r>
        <w:t xml:space="preserve">: if the causal instrument</w:t>
      </w:r>
      <w:r>
        <w:t xml:space="preserve"> </w:t>
      </w:r>
      <m:oMath>
        <m:sSub>
          <m:e>
            <m:r>
              <m:t>U</m:t>
            </m:r>
          </m:e>
          <m:sub>
            <m:r>
              <m:t>Z</m:t>
            </m:r>
          </m:sub>
        </m:sSub>
      </m:oMath>
      <w:r>
        <w:t xml:space="preserve"> </w:t>
      </w:r>
      <w:r>
        <w:t xml:space="preserve">is continuous, a dichotomous surrogate’s IV estimand is a weighted average of effects over everyone, not the effect in a subpopulation of compliers.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Principal strata may be ill-defined</w:t>
      </w:r>
      <w:r>
        <w:t xml:space="preserve">.</w:t>
      </w:r>
    </w:p>
    <w:p>
      <w:pPr>
        <w:pStyle w:val="Compact"/>
        <w:numPr>
          <w:ilvl w:val="0"/>
          <w:numId w:val="1016"/>
        </w:numPr>
      </w:pPr>
      <w:r>
        <w:t xml:space="preserve">A mitigating factor: under strong assumptions, the distribution of observed variables among compliers can be characterized.</w:t>
      </w:r>
      <w:r>
        <w:t xml:space="preserve"> </w:t>
      </w:r>
      <w:r>
        <w:t xml:space="preserve">Deaton (2010) likened focusing on the complier effect to choosing where the light falls and then claiming that whatever it illuminates is what we were looking for</w:t>
      </w:r>
      <w:r>
        <w:t xml:space="preserve"> </w:t>
      </w:r>
      <w:r>
        <w:t xml:space="preserve">(Hernán and Robins 2020, 219)</w:t>
      </w:r>
      <w:r>
        <w:t xml:space="preserve">.</w:t>
      </w:r>
    </w:p>
    <w:p>
      <w:pPr>
        <w:pStyle w:val="Compact"/>
        <w:numPr>
          <w:ilvl w:val="0"/>
          <w:numId w:val="1016"/>
        </w:numPr>
      </w:pPr>
      <w:r>
        <w:t xml:space="preserve">Monotonicity is safe in trials (participants are unlikely to consent in order to do the opposite of what they are asked),</w:t>
      </w:r>
      <w:r>
        <w:t xml:space="preserve"> </w:t>
      </w:r>
      <w:r>
        <w:t xml:space="preserve">and it holds by design when those assigned to no treatment cannot get it (no always-takers or defiers);</w:t>
      </w:r>
      <w:r>
        <w:t xml:space="preserve"> </w:t>
      </w:r>
      <w:r>
        <w:t xml:space="preserve">the effect in the compliers is then the effect in the treated.</w:t>
      </w:r>
      <w:r>
        <w:t xml:space="preserve"> </w:t>
      </w:r>
      <w:r>
        <w:t xml:space="preserve">Example (Swanson and Hernán 2014): in a clinic, one physician usually prescribes the treatment except for patients with diabetes;</w:t>
      </w:r>
      <w:r>
        <w:t xml:space="preserve"> </w:t>
      </w:r>
      <w:r>
        <w:t xml:space="preserve">the other usually does not, except for physically active patients.</w:t>
      </w:r>
      <w:r>
        <w:t xml:space="preserve"> </w:t>
      </w:r>
      <w:r>
        <w:t xml:space="preserve">A physically active patient with diabetes is treated contrary to both physicians’ preferences, i.e., is a defier.</w:t>
      </w:r>
    </w:p>
    <w:p>
      <w:pPr>
        <w:pStyle w:val="Compact"/>
        <w:numPr>
          <w:ilvl w:val="0"/>
          <w:numId w:val="1016"/>
        </w:numPr>
      </w:pPr>
      <w:r>
        <w:t xml:space="preserve">For a continuous</w:t>
      </w:r>
      <w:r>
        <w:t xml:space="preserve"> </w:t>
      </w:r>
      <m:oMath>
        <m:sSub>
          <m:e>
            <m:r>
              <m:t>U</m:t>
            </m:r>
          </m:e>
          <m:sub>
            <m:r>
              <m:t>Z</m:t>
            </m:r>
          </m:sub>
        </m:sSub>
      </m:oMath>
      <w:r>
        <w:t xml:space="preserve">, monotonicity means</w:t>
      </w:r>
      <w:r>
        <w:t xml:space="preserve"> </w:t>
      </w:r>
      <m:oMath>
        <m:sSup>
          <m:e>
            <m:r>
              <m:t>A</m:t>
            </m:r>
          </m:e>
          <m:sup>
            <m:sSub>
              <m:e>
                <m:r>
                  <m:t>u</m:t>
                </m:r>
              </m:e>
              <m:sub>
                <m:r>
                  <m:t>z</m:t>
                </m:r>
              </m:sub>
            </m:sSub>
          </m:sup>
        </m:sSup>
      </m:oMath>
      <w:r>
        <w:t xml:space="preserve"> </w:t>
      </w:r>
      <w:r>
        <w:t xml:space="preserve">is non-decreasing in</w:t>
      </w:r>
      <w:r>
        <w:t xml:space="preserve"> </w:t>
      </w:r>
      <m:oMath>
        <m:sSub>
          <m:e>
            <m:r>
              <m:t>u</m:t>
            </m:r>
          </m:e>
          <m:sub>
            <m:r>
              <m:t>z</m:t>
            </m:r>
          </m:sub>
        </m:sSub>
      </m:oMath>
      <w:r>
        <w:t xml:space="preserve">.</w:t>
      </w:r>
    </w:p>
    <w:p>
      <w:pPr>
        <w:pStyle w:val="Compact"/>
        <w:numPr>
          <w:ilvl w:val="0"/>
          <w:numId w:val="1016"/>
        </w:numPr>
      </w:pPr>
      <w:r>
        <w:t xml:space="preserve">A stable partition requires, e.g., all physicians with the same preference level who could have seen a patient to treat the patient identically;</w:t>
      </w:r>
      <w:r>
        <w:t xml:space="preserve"> </w:t>
      </w:r>
      <w:r>
        <w:t xml:space="preserve">it also requires deterministic counterfactuals, no interference, and stability across settings and instruments</w:t>
      </w:r>
      <w:r>
        <w:t xml:space="preserve"> </w:t>
      </w:r>
      <w:r>
        <w:t xml:space="preserve">(Hernán and Robins 2020, 220)</w:t>
      </w:r>
      <w:r>
        <w:t xml:space="preserve">.</w:t>
      </w:r>
    </w:p>
    <w:p>
      <w:pPr>
        <w:pStyle w:val="FirstParagraph"/>
      </w:pPr>
      <w:r>
        <w:rPr>
          <w:b/>
          <w:bCs/>
        </w:rPr>
        <w:t xml:space="preserve">Bottom line</w:t>
      </w:r>
      <w:r>
        <w:t xml:space="preserve">: if the complier effect is of interest, monotonicity is most promising in double-blind two-arm trials with all-or-nothing compliance, especially when one arm has full adherence by design;</w:t>
      </w:r>
      <w:r>
        <w:t xml:space="preserve"> </w:t>
      </w:r>
      <w:r>
        <w:t xml:space="preserve">more caution is needed in complex settings and observational studies</w:t>
      </w:r>
      <w:r>
        <w:t xml:space="preserve"> </w:t>
      </w:r>
      <w:r>
        <w:t xml:space="preserve">(Hernán and Robins 2020, 220)</w:t>
      </w:r>
      <w:r>
        <w:t xml:space="preserve">.</w:t>
      </w:r>
    </w:p>
    <w:bookmarkEnd w:id="41"/>
    <w:bookmarkEnd w:id="42"/>
    <w:bookmarkStart w:id="50" w:name="X053b1e7d540b77398585adc086d2532256d8edf"/>
    <w:p>
      <w:pPr>
        <w:pStyle w:val="Heading2"/>
      </w:pPr>
      <w:r>
        <w:t xml:space="preserve">5 16.5 The Three Instrumental Conditions Revisited (pp. 220-222)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A proposed instrument may violate (ii) or (iii), or barely meet (i).</w:t>
      </w:r>
      <w:r>
        <w:t xml:space="preserve"> </w:t>
      </w:r>
      <w:r>
        <w:t xml:space="preserve">Then IV estimation may be badly biased even if condition (iv) holds perfectly.</w:t>
      </w:r>
    </w:p>
    <w:bookmarkStart w:id="45" w:name="condition-i-weak-instruments"/>
    <w:p>
      <w:pPr>
        <w:pStyle w:val="Heading3"/>
      </w:pPr>
      <w:r>
        <w:t xml:space="preserve">5.1 Condition (i): Weak Instruments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4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4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16.2: Defining Weak Instruments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Compact"/>
              <w:numPr>
                <w:ilvl w:val="0"/>
                <w:numId w:val="1017"/>
              </w:numPr>
            </w:pPr>
            <w:r>
              <w:rPr>
                <w:b/>
                <w:bCs/>
              </w:rPr>
              <w:t xml:space="preserve">Substantively weak</w:t>
            </w:r>
            <w:r>
              <w:t xml:space="preserve">: the true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-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association (the denominator) is small.</w:t>
            </w:r>
          </w:p>
          <w:p>
            <w:pPr>
              <w:pStyle w:val="Compact"/>
              <w:numPr>
                <w:ilvl w:val="0"/>
                <w:numId w:val="1017"/>
              </w:numPr>
            </w:pPr>
            <w:r>
              <w:rPr>
                <w:b/>
                <w:bCs/>
              </w:rPr>
              <w:t xml:space="preserve">Statistically weak</w:t>
            </w:r>
            <w:r>
              <w:t xml:space="preserve">: the F-statistic for the observed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-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association is small, typically below 10.</w:t>
            </w:r>
          </w:p>
          <w:p>
            <w:pPr>
              <w:pStyle w:val="FirstParagraph"/>
            </w:pPr>
            <w:pPr>
              <w:spacing w:after="16"/>
            </w:pPr>
            <w:r>
              <w:t xml:space="preserve">The NHEFS instrument is weak by both: risk difference about 6%, F-statistic 0.8</w:t>
            </w:r>
            <w:r>
              <w:t xml:space="preserve"> </w:t>
            </w:r>
            <w:r>
              <w:t xml:space="preserve">(Hernán and Robins 2020, 221)</w:t>
            </w:r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Three problems</w:t>
      </w:r>
      <w:r>
        <w:t xml:space="preserve"> </w:t>
      </w:r>
      <w:r>
        <w:t xml:space="preserve">(Hernán and Robins 2020, 220–21)</w:t>
      </w:r>
      <w:r>
        <w:t xml:space="preserve">: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Wide confidence intervals</w:t>
      </w:r>
      <w:r>
        <w:t xml:space="preserve"> </w:t>
      </w:r>
      <w:r>
        <w:t xml:space="preserve">(NHEFS:</w:t>
      </w:r>
      <w:r>
        <w:t xml:space="preserve"> </w:t>
      </w:r>
      <m:oMath>
        <m:r>
          <m:rPr>
            <m:sty m:val="p"/>
          </m:rPr>
          <m:t>−</m:t>
        </m:r>
        <m:r>
          <m:t>36.5</m:t>
        </m:r>
      </m:oMath>
      <w:r>
        <w:t xml:space="preserve"> </w:t>
      </w:r>
      <w:r>
        <w:t xml:space="preserve">to</w:t>
      </w:r>
      <w:r>
        <w:t xml:space="preserve"> </w:t>
      </w:r>
      <m:oMath>
        <m:r>
          <m:t>41.3</m:t>
        </m:r>
      </m:oMath>
      <w:r>
        <w:t xml:space="preserve"> </w:t>
      </w:r>
      <w:r>
        <w:t xml:space="preserve">kg).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Bias amplification</w:t>
      </w:r>
      <w:r>
        <w:t xml:space="preserve">: any bias in the numerator (from a violation of (ii) or (iii)) is divided by the small denominator.</w:t>
      </w:r>
      <w:r>
        <w:t xml:space="preserve"> </w:t>
      </w:r>
      <w:r>
        <w:t xml:space="preserve">In NHEFS it is multiplied by about</w:t>
      </w:r>
      <w:r>
        <w:t xml:space="preserve"> </w:t>
      </w:r>
      <m:oMath>
        <m:r>
          <m:t>1</m:t>
        </m:r>
        <m:r>
          <m:rPr>
            <m:sty m:val="p"/>
          </m:rPr>
          <m:t>/</m:t>
        </m:r>
        <m:r>
          <m:t>0.0627</m:t>
        </m:r>
        <m:r>
          <m:rPr>
            <m:sty m:val="p"/>
          </m:rPr>
          <m:t>≈</m:t>
        </m:r>
        <m:r>
          <m:t>15.9</m:t>
        </m:r>
      </m:oMath>
      <w:r>
        <w:t xml:space="preserve">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Finite-sample bias</w:t>
      </w:r>
      <w:r>
        <w:t xml:space="preserve"> </w:t>
      </w:r>
      <w:r>
        <w:t xml:space="preserve">even with a valid instrument and a large sample.</w:t>
      </w:r>
    </w:p>
    <w:p>
      <w:pPr>
        <w:pStyle w:val="FirstParagraph"/>
      </w:pPr>
      <w:r>
        <w:t xml:space="preserve">Definition 1 links to problem 2 (it holds even in an infinite sample);</w:t>
      </w:r>
      <w:r>
        <w:t xml:space="preserve"> </w:t>
      </w:r>
      <w:r>
        <w:t xml:space="preserve">definition 2 links to problem 3.</w:t>
      </w:r>
    </w:p>
    <w:p>
      <w:pPr>
        <w:pStyle w:val="BodyText"/>
      </w:pPr>
      <w:r>
        <w:t xml:space="preserve">In linear models, strong confounding guarantees a weak instrument: a strong</w:t>
      </w:r>
      <w:r>
        <w:t xml:space="preserve"> </w:t>
      </w:r>
      <m:oMath>
        <m:r>
          <m:t>A</m:t>
        </m:r>
      </m:oMath>
      <w:r>
        <w:t xml:space="preserve">-</w:t>
      </w:r>
      <m:oMath>
        <m:r>
          <m:t>U</m:t>
        </m:r>
      </m:oMath>
      <w:r>
        <w:t xml:space="preserve"> </w:t>
      </w:r>
      <w:r>
        <w:t xml:space="preserve">association leaves little room for a strong</w:t>
      </w:r>
      <w:r>
        <w:t xml:space="preserve"> </w:t>
      </w:r>
      <m:oMath>
        <m:r>
          <m:t>A</m:t>
        </m:r>
      </m:oMath>
      <w:r>
        <w:t xml:space="preserve">-</w:t>
      </w:r>
      <m:oMath>
        <m:r>
          <m:t>Z</m:t>
        </m:r>
      </m:oMath>
      <w:r>
        <w:t xml:space="preserve"> </w:t>
      </w:r>
      <w:r>
        <w:t xml:space="preserve">association (Martens et al. 2006)</w:t>
      </w:r>
      <w:r>
        <w:t xml:space="preserve"> </w:t>
      </w:r>
      <w:r>
        <w:t xml:space="preserve">(Hernán and Robins 2020, 220)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End w:id="45"/>
    <w:bookmarkStart w:id="47" w:name="X9bc04814a1704714591c09310b4ae85b4bfafb2"/>
    <w:p>
      <w:pPr>
        <w:pStyle w:val="Heading3"/>
      </w:pPr>
      <w:r>
        <w:t xml:space="preserve">5.2 Why Weak Instruments Are Biased in Finite Samples</w:t>
      </w:r>
    </w:p>
    <w:p>
      <w:pPr>
        <w:pStyle w:val="FirstParagraph"/>
      </w:pPr>
      <w:r>
        <w:t xml:space="preserve">A randomly generated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has, in an infinite population, zero association with</w:t>
      </w:r>
      <w:r>
        <w:t xml:space="preserve"> </w:t>
      </w:r>
      <m:oMath>
        <m:r>
          <m:t>A</m:t>
        </m:r>
      </m:oMath>
      <w:r>
        <w:t xml:space="preserve">, so the IV estimand is undefined.</w:t>
      </w:r>
      <w:r>
        <w:t xml:space="preserve"> </w:t>
      </w:r>
      <w:r>
        <w:t xml:space="preserve">In a finite sample, chance creates a small</w:t>
      </w:r>
      <w:r>
        <w:t xml:space="preserve"> </w:t>
      </w:r>
      <m:oMath>
        <m:r>
          <m:t>Z</m:t>
        </m:r>
      </m:oMath>
      <w:r>
        <w:t xml:space="preserve">-</w:t>
      </w:r>
      <m:oMath>
        <m:r>
          <m:t>U</m:t>
        </m:r>
      </m:oMath>
      <w:r>
        <w:t xml:space="preserve">, and hence</w:t>
      </w:r>
      <w:r>
        <w:t xml:space="preserve"> </w:t>
      </w:r>
      <m:oMath>
        <m:r>
          <m:t>Z</m:t>
        </m:r>
      </m:oMath>
      <w:r>
        <w:t xml:space="preserve">-</w:t>
      </w:r>
      <m:oMath>
        <m:r>
          <m:t>A</m:t>
        </m:r>
      </m:oMath>
      <w:r>
        <w:t xml:space="preserve">, association, so the denominator is small but not zero and the estimate can be wildly inflated.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46" w:name="exm-nhefs-thresholds"/>
          <w:p>
            <w:pPr>
              <w:pStyle w:val="BodyText"/>
            </w:pPr>
            <w:r>
              <w:rPr>
                <w:b/>
                <w:bCs/>
              </w:rPr>
              <w:t xml:space="preserve">Example 2 (The NHEFS Instrument Behaves Like Noise)</w:t>
            </w:r>
            <w:r>
              <w:t xml:space="preserve"> </w:t>
            </w:r>
            <w:r>
              <w:t xml:space="preserve">Redefining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 </w:t>
            </w:r>
            <w:r>
              <w:t xml:space="preserve">as price above $1.60, $1.70, $1.80, or $1.90 gives IV estimates of 41.3,</w:t>
            </w:r>
            <w:r>
              <w:t xml:space="preserve"> </w:t>
            </w:r>
            <m:oMath>
              <m:r>
                <m:rPr>
                  <m:sty m:val="p"/>
                </m:rPr>
                <m:t>−</m:t>
              </m:r>
              <m:r>
                <m:t>40.9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rPr>
                  <m:sty m:val="p"/>
                </m:rPr>
                <m:t>−</m:t>
              </m:r>
              <m:r>
                <m:t>21.1</m:t>
              </m:r>
            </m:oMath>
            <w:r>
              <w:t xml:space="preserve">, and</w:t>
            </w:r>
            <w:r>
              <w:t xml:space="preserve"> </w:t>
            </w:r>
            <m:oMath>
              <m:r>
                <m:rPr>
                  <m:sty m:val="p"/>
                </m:rPr>
                <m:t>−</m:t>
              </m:r>
              <m:r>
                <m:t>12.8</m:t>
              </m:r>
            </m:oMath>
            <w:r>
              <w:t xml:space="preserve"> </w:t>
            </w:r>
            <w:r>
              <w:t xml:space="preserve">kg, each with a huge confidence interval</w:t>
            </w:r>
            <w:r>
              <w:t xml:space="preserve"> </w:t>
            </w:r>
            <w:r>
              <w:t xml:space="preserve">(Hernán and Robins 2020, 221)</w:t>
            </w:r>
            <w:r>
              <w:t xml:space="preserve">.</w:t>
            </w:r>
          </w:p>
          <w:bookmarkEnd w:id="46"/>
        </w:tc>
      </w:tr>
    </w:tbl>
    <w:p>
      <w:pPr>
        <w:pStyle w:val="BodyText"/>
      </w:pPr>
      <w:r>
        <w:t xml:space="preserve">Given the bias and variability weak instruments create, a strong proposed instrument that slightly violates (ii) or (iii) may be preferable to a weaker but less invalid one</w:t>
      </w:r>
      <w:r>
        <w:t xml:space="preserve"> </w:t>
      </w:r>
      <w:r>
        <w:t xml:space="preserve">(Hernán and Robins 2020, 221)</w:t>
      </w:r>
      <w:r>
        <w:t xml:space="preserve">.</w:t>
      </w:r>
      <w:r>
        <w:t xml:space="preserve"> </w:t>
      </w:r>
      <w:r>
        <w:t xml:space="preserve">Bound, Jaeger and Baker (1995) documented this bias.</w:t>
      </w:r>
    </w:p>
    <w:p>
      <w:r>
        <w:pict>
          <v:rect style="width:0;height:1.5pt" o:hralign="center" o:hrstd="t" o:hr="t"/>
        </w:pict>
      </w:r>
    </w:p>
    <w:bookmarkEnd w:id="47"/>
    <w:bookmarkStart w:id="48" w:name="Xaff59b67bb3f6a1306ef1cdbfd2ae1549e63188"/>
    <w:p>
      <w:pPr>
        <w:pStyle w:val="Heading3"/>
      </w:pPr>
      <w:r>
        <w:t xml:space="preserve">5.3 Condition (ii): Direct Effects of the Instrument</w:t>
      </w:r>
    </w:p>
    <w:p>
      <w:pPr>
        <w:pStyle w:val="Compact"/>
        <w:numPr>
          <w:ilvl w:val="0"/>
          <w:numId w:val="1019"/>
        </w:numPr>
      </w:pPr>
      <w:r>
        <w:t xml:space="preserve">A direct arrow</w:t>
      </w:r>
      <w:r>
        <w:t xml:space="preserve"> </w:t>
      </w:r>
      <m:oMath>
        <m:r>
          <m:t>Z</m:t>
        </m:r>
        <m:r>
          <m:rPr>
            <m:sty m:val="p"/>
          </m:rPr>
          <m:t>→</m:t>
        </m:r>
        <m:r>
          <m:t>Y</m:t>
        </m:r>
      </m:oMath>
      <w:r>
        <w:t xml:space="preserve"> </w:t>
      </w:r>
      <w:r>
        <w:t xml:space="preserve">(Figure 16.8) adds to the numerator, and the denominator inflates it as if it were an effect of</w:t>
      </w:r>
      <w:r>
        <w:t xml:space="preserve"> </w:t>
      </w:r>
      <m:oMath>
        <m:r>
          <m:t>A</m:t>
        </m:r>
      </m:oMath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Coarsening the treatment</w:t>
      </w:r>
      <w:r>
        <w:t xml:space="preserve"> </w:t>
      </w:r>
      <w:r>
        <w:t xml:space="preserve">can create a violation: if a continuous or multi-valued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is replaced by a dichotomized</w:t>
      </w:r>
      <w:r>
        <w:t xml:space="preserve"> </w:t>
      </w:r>
      <m:oMath>
        <m:sSup>
          <m:e>
            <m:r>
              <m:t>A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, the path</w:t>
      </w:r>
      <w:r>
        <w:t xml:space="preserve"> </w:t>
      </w:r>
      <m:oMath>
        <m:r>
          <m:t>Z</m:t>
        </m:r>
        <m:r>
          <m:rPr>
            <m:sty m:val="p"/>
          </m:rPr>
          <m:t>→</m:t>
        </m:r>
        <m:r>
          <m:t>A</m:t>
        </m:r>
        <m:r>
          <m:rPr>
            <m:sty m:val="p"/>
          </m:rPr>
          <m:t>→</m:t>
        </m:r>
        <m:r>
          <m:t>Y</m:t>
        </m:r>
      </m:oMath>
      <w:r>
        <w:t xml:space="preserve"> </w:t>
      </w:r>
      <w:r>
        <w:t xml:space="preserve">is a direct effect of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not mediated by</w:t>
      </w:r>
      <w:r>
        <w:t xml:space="preserve"> </w:t>
      </w:r>
      <m:oMath>
        <m:sSup>
          <m:e>
            <m:r>
              <m:t>A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 </w:t>
      </w:r>
      <w:r>
        <w:t xml:space="preserve">(Figure 16.9).</w:t>
      </w:r>
      <w:r>
        <w:t xml:space="preserve"> </w:t>
      </w:r>
      <w:r>
        <w:t xml:space="preserve">Coarsening is a problem for IV estimation but not necessarily for the methods of earlier chapters</w:t>
      </w:r>
      <w:r>
        <w:t xml:space="preserve"> </w:t>
      </w:r>
      <w:r>
        <w:t xml:space="preserve">(Hernán and Robins 2020, 221–22)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End w:id="48"/>
    <w:bookmarkStart w:id="49" w:name="X3e72c2d2fdb8dcd56463633c57f7d1ef731648b"/>
    <w:p>
      <w:pPr>
        <w:pStyle w:val="Heading3"/>
      </w:pPr>
      <w:r>
        <w:t xml:space="preserve">5.4 Condition (iii): Confounding and Selection Bias</w:t>
      </w:r>
    </w:p>
    <w:p>
      <w:pPr>
        <w:pStyle w:val="Compact"/>
        <w:numPr>
          <w:ilvl w:val="0"/>
          <w:numId w:val="1020"/>
        </w:numPr>
      </w:pPr>
      <w:r>
        <w:t xml:space="preserve">Common causes of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(which may or may not also cause</w:t>
      </w:r>
      <w:r>
        <w:t xml:space="preserve"> </w:t>
      </w:r>
      <m:oMath>
        <m:r>
          <m:t>A</m:t>
        </m:r>
      </m:oMath>
      <w:r>
        <w:t xml:space="preserve">;</w:t>
      </w:r>
      <w:r>
        <w:t xml:space="preserve"> </w:t>
      </w:r>
      <w:r>
        <w:t xml:space="preserve">Figure 16.10) bias the numerator, and the bias is inflated by the denominator.</w:t>
      </w:r>
      <w:r>
        <w:t xml:space="preserve"> </w:t>
      </w:r>
      <w:r>
        <w:t xml:space="preserve">In observational studies this possibility always exists.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Adjusting for measured pre-instrument covariates</w:t>
      </w:r>
      <w:r>
        <w:rPr>
          <w:b/>
          <w:bCs/>
        </w:rPr>
        <w:t xml:space="preserve"> </w:t>
      </w:r>
      <m:oMath>
        <m:r>
          <m:t>V</m:t>
        </m:r>
      </m:oMath>
      <w:r>
        <w:t xml:space="preserve">: assume no unmeasured confounding of</w:t>
      </w:r>
      <w:r>
        <w:t xml:space="preserve"> </w:t>
      </w:r>
      <m:oMath>
        <m:r>
          <m:t>Z</m:t>
        </m:r>
      </m:oMath>
      <w:r>
        <w:t xml:space="preserve">-</w:t>
      </w:r>
      <m:oMath>
        <m:r>
          <m:t>Y</m:t>
        </m:r>
      </m:oMath>
      <w:r>
        <w:t xml:space="preserve"> </w:t>
      </w:r>
      <w:r>
        <w:t xml:space="preserve">within levels of</w:t>
      </w:r>
      <w:r>
        <w:t xml:space="preserve"> </w:t>
      </w:r>
      <m:oMath>
        <m:r>
          <m:t>V</m:t>
        </m:r>
      </m:oMath>
      <w:r>
        <w:t xml:space="preserve">,</w:t>
      </w:r>
      <w:r>
        <w:t xml:space="preserve"> </w:t>
      </w:r>
      <w:r>
        <w:t xml:space="preserve">then do IV estimation within strata of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and pool (assuming the effect is constant across</w:t>
      </w:r>
      <w:r>
        <w:t xml:space="preserve"> </w:t>
      </w:r>
      <m:oMath>
        <m:r>
          <m:t>V</m:t>
        </m:r>
      </m:oMath>
      <w:r>
        <w:t xml:space="preserve">), or include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in the two-stage models.</w:t>
      </w:r>
      <w:r>
        <w:t xml:space="preserve"> </w:t>
      </w:r>
      <w:r>
        <w:t xml:space="preserve">In NHEFS this reduced the effect estimate and widened its 95% confidence interval</w:t>
      </w:r>
      <w:r>
        <w:t xml:space="preserve"> </w:t>
      </w:r>
      <w:r>
        <w:t xml:space="preserve">(Hernán and Robins 2020, 222)</w:t>
      </w:r>
      <w:r>
        <w:t xml:space="preserve">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Checking balance</w:t>
      </w:r>
      <w:r>
        <w:t xml:space="preserve"> </w:t>
      </w:r>
      <w:r>
        <w:t xml:space="preserve">of measured confounders across levels of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can give false security: small imbalances can cause large biases through amplification.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Selection bias</w:t>
      </w:r>
      <w:r>
        <w:t xml:space="preserve">: excluding individuals with some treatment levels (e.g., keeping only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when</w:t>
      </w:r>
      <w:r>
        <w:t xml:space="preserve"> </w:t>
      </w:r>
      <m:oMath>
        <m:r>
          <m:t>A</m:t>
        </m:r>
        <m:r>
          <m:rPr>
            <m:sty m:val="p"/>
          </m:rPr>
          <m:t>∈</m:t>
        </m:r>
        <m:r>
          <m:rPr>
            <m:sty m:val="p"/>
          </m:rPr>
          <m:t>{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}</m:t>
        </m:r>
      </m:oMath>
      <w:r>
        <w:t xml:space="preserve">) can give a non-null IV estimate under the null,</w:t>
      </w:r>
      <w:r>
        <w:t xml:space="preserve"> </w:t>
      </w:r>
      <w:r>
        <w:t xml:space="preserve">although it does not bias a non-IV comparison of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versus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2</m:t>
        </m:r>
      </m:oMath>
      <w:r>
        <w:t xml:space="preserve">.</w:t>
      </w:r>
    </w:p>
    <w:p>
      <w:pPr>
        <w:pStyle w:val="FirstParagraph"/>
      </w:pPr>
      <w:r>
        <w:t xml:space="preserve">All these problems get worse when several proposed instruments are used together to compensate for weakness:</w:t>
      </w:r>
      <w:r>
        <w:t xml:space="preserve"> </w:t>
      </w:r>
      <w:r>
        <w:t xml:space="preserve">the more proposed instruments, the more likely that some of them violate a condition</w:t>
      </w:r>
      <w:r>
        <w:t xml:space="preserve"> </w:t>
      </w:r>
      <w:r>
        <w:t xml:space="preserve">(Hernán and Robins 2020, 222)</w:t>
      </w:r>
      <w:r>
        <w:t xml:space="preserve">.</w:t>
      </w:r>
    </w:p>
    <w:bookmarkEnd w:id="49"/>
    <w:bookmarkEnd w:id="50"/>
    <w:bookmarkStart w:id="53" w:name="X69cd228237b0cae31cc26fe905c4ccc45e0084d"/>
    <w:p>
      <w:pPr>
        <w:pStyle w:val="Heading2"/>
      </w:pPr>
      <w:r>
        <w:t xml:space="preserve">6 16.6 Instrumental Variable Estimation versus Other Methods (pp. 223-225)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IV estimation differs from the earlier methods in at least three ways</w:t>
      </w:r>
      <w:r>
        <w:t xml:space="preserve"> </w:t>
      </w:r>
      <w:r>
        <w:t xml:space="preserve">(Hernán and Robins 2020, 223)</w:t>
      </w:r>
      <w:r>
        <w:t xml:space="preserve">: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Different assumptions</w:t>
      </w:r>
      <w:r>
        <w:t xml:space="preserve">: it replaces conditional exchangeability of treated and untreated with conditions (i)-(iv).</w:t>
      </w:r>
      <w:r>
        <w:t xml:space="preserve"> </w:t>
      </w:r>
      <w:r>
        <w:t xml:space="preserve">The choice depends on whether it is easier to measure the confounders or to find an instrument and expect monotonicity or no relevant effect heterogeneity.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Sensitivity to violations</w:t>
      </w:r>
      <w:r>
        <w:t xml:space="preserve">: because the denominator blows up the numerator, small violations or a weak instrument can cause large bias in either direction, possibly larger than an unadjusted estimate.</w:t>
      </w:r>
      <w:r>
        <w:t xml:space="preserve"> </w:t>
      </w:r>
      <w:r>
        <w:t xml:space="preserve">Slight violations of the conditions for IP weighting or standardization tend to give only slight bias.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Narrower applicability</w:t>
      </w:r>
      <w:r>
        <w:t xml:space="preserve">: standard IV estimation suits settings with lots of unmeasured confounding, a truly dichotomous time-fixed treatment, a strong (causal) instrument, and either effect homogeneity or (if the complier effect is of interest) monotonicity.</w:t>
      </w:r>
      <w:r>
        <w:t xml:space="preserve"> </w:t>
      </w:r>
      <w:r>
        <w:t xml:space="preserve">So it is mostly used for point interventions and plays a small role in Part III (time-varying treatments).</w:t>
      </w:r>
    </w:p>
    <w:p>
      <w:pPr>
        <w:pStyle w:val="FirstParagraph"/>
      </w:pPr>
      <w:r>
        <w:t xml:space="preserve">Because it rests on different assumptions, IV estimation is useful for</w:t>
      </w:r>
      <w:r>
        <w:t xml:space="preserve"> </w:t>
      </w:r>
      <w:r>
        <w:rPr>
          <w:b/>
          <w:bCs/>
        </w:rPr>
        <w:t xml:space="preserve">triangulation</w:t>
      </w:r>
      <w:r>
        <w:t xml:space="preserve">,</w:t>
      </w:r>
      <w:r>
        <w:t xml:space="preserve"> </w:t>
      </w:r>
      <w:r>
        <w:t xml:space="preserve">but the wide confidence intervals typical of IV estimates often limit its added value,</w:t>
      </w:r>
      <w:r>
        <w:t xml:space="preserve"> </w:t>
      </w:r>
      <w:r>
        <w:t xml:space="preserve">and the counterintuitive direction and size of its biases need special attention.</w:t>
      </w:r>
      <w:r>
        <w:t xml:space="preserve"> </w:t>
      </w:r>
      <w:r>
        <w:t xml:space="preserve">Sensitivity analyses and transparent reporting are important</w:t>
      </w:r>
      <w:r>
        <w:t xml:space="preserve"> </w:t>
      </w:r>
      <w:r>
        <w:t xml:space="preserve">(Hernán and Robins 2020, 223)</w:t>
      </w:r>
      <w:r>
        <w:t xml:space="preserve">.</w:t>
      </w:r>
      <w:r>
        <w:t xml:space="preserve"> </w:t>
      </w:r>
      <w:r>
        <w:t xml:space="preserve">Regression discontinuity (Fine Point 16.3) and difference-in-differences (Technical Point 7.3) also identify effects without conditional exchangeability.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51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5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16.3: Regression Discontinuity Design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Example: an antiviral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for COVID-19 is given to everyone aged 65 or older (</w:t>
            </w:r>
            <m:oMath>
              <m:r>
                <m:t>L</m:t>
              </m:r>
              <m:r>
                <m:rPr>
                  <m:sty m:val="p"/>
                </m:rPr>
                <m:t>≥</m:t>
              </m:r>
              <m:r>
                <m:t>65</m:t>
              </m:r>
            </m:oMath>
            <w:r>
              <w:t xml:space="preserve">) and to no one younger, so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&lt;</m:t>
              </m:r>
              <m:r>
                <m:t>65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≥</m:t>
              </m:r>
              <m:r>
                <m:t>65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There is no positivity.</w:t>
            </w:r>
          </w:p>
          <w:p>
            <w:pPr>
              <w:pStyle w:val="Compact"/>
              <w:numPr>
                <w:ilvl w:val="0"/>
                <w:numId w:val="1022"/>
              </w:numPr>
            </w:pPr>
            <w:r>
              <w:rPr>
                <w:b/>
                <w:bCs/>
              </w:rPr>
              <w:t xml:space="preserve">Continuity assumption</w:t>
            </w:r>
            <w:r>
              <w:t xml:space="preserve">: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L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L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are continuous in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(at least around the threshold), and individuals just on either side are exchangeable.</w:t>
            </w:r>
          </w:p>
          <w:p>
            <w:pPr>
              <w:pStyle w:val="Compact"/>
              <w:numPr>
                <w:ilvl w:val="0"/>
                <w:numId w:val="1022"/>
              </w:numPr>
            </w:pPr>
            <w:r>
              <w:t xml:space="preserve">Then a jump in the observed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L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at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=</m:t>
              </m:r>
              <m:r>
                <m:t>65</m:t>
              </m:r>
            </m:oMath>
            <w:r>
              <w:t xml:space="preserve"> </w:t>
            </w:r>
            <w:r>
              <w:t xml:space="preserve">estimates the effect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rPr>
                <w:b/>
                <w:bCs/>
              </w:rPr>
              <w:t xml:space="preserve">among those with</w:t>
            </w:r>
            <w:r>
              <w:rPr>
                <w:b/>
                <w:bCs/>
              </w:rPr>
              <w:t xml:space="preserve"> </w:t>
            </w:r>
            <m:oMath>
              <m:r>
                <m:t>L</m:t>
              </m:r>
            </m:oMath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near the threshold</w:t>
            </w:r>
            <w:r>
              <w:t xml:space="preserve">,</w:t>
            </w:r>
            <w:r>
              <w:t xml:space="preserve"> </w:t>
            </w:r>
            <w:r>
              <w:t xml:space="preserve">e.g., by comparing mean outcomes within a chosen bandwidth, typically with regression models fit on each side.</w:t>
            </w:r>
          </w:p>
          <w:p>
            <w:pPr>
              <w:pStyle w:val="Compact"/>
              <w:numPr>
                <w:ilvl w:val="0"/>
                <w:numId w:val="1022"/>
              </w:numPr>
            </w:pPr>
            <w:r>
              <w:t xml:space="preserve">The bandwidth trades precision against bias;</w:t>
            </w:r>
            <w:r>
              <w:t xml:space="preserve"> </w:t>
            </w:r>
            <w:r>
              <w:t xml:space="preserve">data-adaptive procedures such as cross-validation can help choose it.</w:t>
            </w:r>
          </w:p>
          <w:p>
            <w:pPr>
              <w:pStyle w:val="FirstParagraph"/>
            </w:pPr>
            <w:pPr>
              <w:spacing w:after="16"/>
            </w:pPr>
            <w:r>
              <w:t xml:space="preserve">This is a</w:t>
            </w:r>
            <w:r>
              <w:t xml:space="preserve"> </w:t>
            </w:r>
            <w:r>
              <w:rPr>
                <w:b/>
                <w:bCs/>
              </w:rPr>
              <w:t xml:space="preserve">sharp</w:t>
            </w:r>
            <w:r>
              <w:t xml:space="preserve"> </w:t>
            </w:r>
            <w:r>
              <w:t xml:space="preserve">design;</w:t>
            </w:r>
            <w:r>
              <w:t xml:space="preserve"> </w:t>
            </w: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fuzzy</w:t>
            </w:r>
            <w:r>
              <w:t xml:space="preserve"> </w:t>
            </w:r>
            <w:r>
              <w:t xml:space="preserve">design, where the treatment probability jumps but not from 0 to 1, relies on monotonicity and estimates the effect in the compliers near the threshold</w:t>
            </w:r>
            <w:r>
              <w:t xml:space="preserve"> </w:t>
            </w:r>
            <w:r>
              <w:t xml:space="preserve">(Hernán and Robins 2020, 225)</w:t>
            </w:r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The design is biased if other treatments also change at the threshold (e.g., intensive care restricted to those 65 and older),</w:t>
      </w:r>
      <w:r>
        <w:t xml:space="preserve"> </w:t>
      </w:r>
      <w:r>
        <w:t xml:space="preserve">or if people manipulate the running variable (e.g., falsify their age).</w:t>
      </w:r>
      <w:r>
        <w:t xml:space="preserve"> </w:t>
      </w:r>
      <w:r>
        <w:t xml:space="preserve">The near-threshold effect can differ from the population effect if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is an effect modifier</w:t>
      </w:r>
      <w:r>
        <w:t xml:space="preserve"> </w:t>
      </w:r>
      <w:r>
        <w:t xml:space="preserve">(Hernán and Robins 2020, 225)</w:t>
      </w:r>
      <w:r>
        <w:t xml:space="preserve">.</w:t>
      </w:r>
    </w:p>
    <w:bookmarkEnd w:id="53"/>
    <w:bookmarkStart w:id="57" w:name="summary"/>
    <w:p>
      <w:pPr>
        <w:pStyle w:val="Heading2"/>
      </w:pPr>
      <w:r>
        <w:t xml:space="preserve">7 Summary</w:t>
      </w:r>
    </w:p>
    <w:p>
      <w:r>
        <w:pict>
          <v:rect style="width:0;height:1.5pt" o:hralign="center" o:hrstd="t" o:hr="t"/>
        </w:pict>
      </w:r>
    </w:p>
    <w:p>
      <w:pPr>
        <w:pStyle w:val="Compact"/>
        <w:numPr>
          <w:ilvl w:val="0"/>
          <w:numId w:val="1023"/>
        </w:numPr>
      </w:pPr>
      <w:r>
        <w:t xml:space="preserve">An</w:t>
      </w:r>
      <w:r>
        <w:t xml:space="preserve"> </w:t>
      </w:r>
      <w:r>
        <w:rPr>
          <w:b/>
          <w:bCs/>
        </w:rPr>
        <w:t xml:space="preserve">instrument</w:t>
      </w:r>
      <w:r>
        <w:t xml:space="preserve"> </w:t>
      </w:r>
      <w:r>
        <w:t xml:space="preserve">meets (i) association with</w:t>
      </w:r>
      <w:r>
        <w:t xml:space="preserve"> </w:t>
      </w:r>
      <m:oMath>
        <m:r>
          <m:t>A</m:t>
        </m:r>
      </m:oMath>
      <w:r>
        <w:t xml:space="preserve">, (ii) no effect on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except through</w:t>
      </w:r>
      <w:r>
        <w:t xml:space="preserve"> </w:t>
      </w:r>
      <m:oMath>
        <m:r>
          <m:t>A</m:t>
        </m:r>
      </m:oMath>
      <w:r>
        <w:t xml:space="preserve">, (iii) no shared causes with</w:t>
      </w:r>
      <w:r>
        <w:t xml:space="preserve"> </w:t>
      </w:r>
      <m:oMath>
        <m:r>
          <m:t>Y</m:t>
        </m:r>
      </m:oMath>
      <w:r>
        <w:t xml:space="preserve">;</w:t>
      </w:r>
      <w:r>
        <w:t xml:space="preserve"> </w:t>
      </w:r>
      <w:r>
        <w:t xml:space="preserve">only (i) is testable.</w:t>
      </w:r>
    </w:p>
    <w:p>
      <w:pPr>
        <w:pStyle w:val="Compact"/>
        <w:numPr>
          <w:ilvl w:val="0"/>
          <w:numId w:val="1023"/>
        </w:numPr>
      </w:pPr>
      <w:r>
        <w:t xml:space="preserve">Alone, an instrument identifies only (usually wide)</w:t>
      </w:r>
      <w:r>
        <w:t xml:space="preserve"> </w:t>
      </w:r>
      <w:r>
        <w:rPr>
          <w:b/>
          <w:bCs/>
        </w:rPr>
        <w:t xml:space="preserve">bounds</w:t>
      </w:r>
      <w:r>
        <w:t xml:space="preserve">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Usual IV estimand</w:t>
      </w:r>
      <w:r>
        <w:t xml:space="preserve">:</w:t>
      </w:r>
      <w:r>
        <w:t xml:space="preserve"> </w:t>
      </w:r>
      <m:oMath>
        <m:f>
          <m:fPr>
            <m:type m:val="bar"/>
          </m:fPr>
          <m:num>
            <m:r>
              <m:rPr>
                <m:sty m:val="p"/>
              </m:rPr>
              <m:t>E</m:t>
            </m:r>
            <m:r>
              <m:t>​</m:t>
            </m:r>
            <m:d>
              <m:dPr>
                <m:begChr m:val="["/>
                <m:sepChr m:val=""/>
                <m:endChr m:val="]"/>
                <m:grow/>
              </m:dPr>
              <m:e>
                <m:r>
                  <m:t>Y</m:t>
                </m:r>
                <m:r>
                  <m:rPr>
                    <m:sty m:val="p"/>
                  </m:rPr>
                  <m:t>∣</m:t>
                </m:r>
                <m:r>
                  <m:t>Z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e>
            </m:d>
            <m:r>
              <m:t>​</m:t>
            </m:r>
            <m:r>
              <m:rPr>
                <m:sty m:val="p"/>
              </m:rPr>
              <m:t>−</m:t>
            </m:r>
            <m:r>
              <m:rPr>
                <m:sty m:val="p"/>
              </m:rPr>
              <m:t>E</m:t>
            </m:r>
            <m:r>
              <m:t>​</m:t>
            </m:r>
            <m:d>
              <m:dPr>
                <m:begChr m:val="["/>
                <m:sepChr m:val=""/>
                <m:endChr m:val="]"/>
                <m:grow/>
              </m:dPr>
              <m:e>
                <m:r>
                  <m:t>Y</m:t>
                </m:r>
                <m:r>
                  <m:rPr>
                    <m:sty m:val="p"/>
                  </m:rPr>
                  <m:t>∣</m:t>
                </m:r>
                <m:r>
                  <m:t>Z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e>
            </m:d>
            <m:r>
              <m:t>​</m:t>
            </m:r>
          </m:num>
          <m:den>
            <m:r>
              <m:rPr>
                <m:sty m:val="p"/>
              </m:rPr>
              <m:t>E</m:t>
            </m:r>
            <m:r>
              <m:t>​</m:t>
            </m:r>
            <m:d>
              <m:dPr>
                <m:begChr m:val="["/>
                <m:sepChr m:val=""/>
                <m:endChr m:val="]"/>
                <m:grow/>
              </m:dPr>
              <m:e>
                <m:r>
                  <m:t>A</m:t>
                </m:r>
                <m:r>
                  <m:rPr>
                    <m:sty m:val="p"/>
                  </m:rPr>
                  <m:t>∣</m:t>
                </m:r>
                <m:r>
                  <m:t>Z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e>
            </m:d>
            <m:r>
              <m:t>​</m:t>
            </m:r>
            <m:r>
              <m:rPr>
                <m:sty m:val="p"/>
              </m:rPr>
              <m:t>−</m:t>
            </m:r>
            <m:r>
              <m:rPr>
                <m:sty m:val="p"/>
              </m:rPr>
              <m:t>E</m:t>
            </m:r>
            <m:r>
              <m:t>​</m:t>
            </m:r>
            <m:d>
              <m:dPr>
                <m:begChr m:val="["/>
                <m:sepChr m:val=""/>
                <m:endChr m:val="]"/>
                <m:grow/>
              </m:dPr>
              <m:e>
                <m:r>
                  <m:t>A</m:t>
                </m:r>
                <m:r>
                  <m:rPr>
                    <m:sty m:val="p"/>
                  </m:rPr>
                  <m:t>∣</m:t>
                </m:r>
                <m:r>
                  <m:t>Z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e>
            </m:d>
            <m:r>
              <m:t>​</m:t>
            </m:r>
          </m:den>
        </m:f>
      </m:oMath>
      <w:r>
        <w:t xml:space="preserve">, computed directly or by two-stage least squares.</w:t>
      </w:r>
    </w:p>
    <w:p>
      <w:pPr>
        <w:pStyle w:val="Compact"/>
        <w:numPr>
          <w:ilvl w:val="0"/>
          <w:numId w:val="1023"/>
        </w:numPr>
      </w:pPr>
      <w:r>
        <w:t xml:space="preserve">Adding</w:t>
      </w:r>
      <w:r>
        <w:t xml:space="preserve"> </w:t>
      </w:r>
      <w:r>
        <w:rPr>
          <w:b/>
          <w:bCs/>
        </w:rPr>
        <w:t xml:space="preserve">homogeneity</w:t>
      </w:r>
      <w:r>
        <w:t xml:space="preserve"> </w:t>
      </w:r>
      <w:r>
        <w:t xml:space="preserve">(iv) makes it the population average causal effect;</w:t>
      </w:r>
      <w:r>
        <w:t xml:space="preserve"> </w:t>
      </w:r>
      <w:r>
        <w:t xml:space="preserve">adding</w:t>
      </w:r>
      <w:r>
        <w:t xml:space="preserve"> </w:t>
      </w:r>
      <w:r>
        <w:rPr>
          <w:b/>
          <w:bCs/>
        </w:rPr>
        <w:t xml:space="preserve">monotonicity</w:t>
      </w:r>
      <w:r>
        <w:t xml:space="preserve"> </w:t>
      </w:r>
      <w:r>
        <w:t xml:space="preserve">(iv) instead makes it the effect in the</w:t>
      </w:r>
      <w:r>
        <w:t xml:space="preserve"> </w:t>
      </w:r>
      <w:r>
        <w:rPr>
          <w:b/>
          <w:bCs/>
        </w:rPr>
        <w:t xml:space="preserve">compliers</w:t>
      </w:r>
      <w:r>
        <w:t xml:space="preserve">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NHEFS</w:t>
      </w:r>
      <w:r>
        <w:t xml:space="preserve">: estimate 2.4 kg (95% CI</w:t>
      </w:r>
      <w:r>
        <w:t xml:space="preserve"> </w:t>
      </w:r>
      <m:oMath>
        <m:r>
          <m:rPr>
            <m:sty m:val="p"/>
          </m:rPr>
          <m:t>−</m:t>
        </m:r>
        <m:r>
          <m:t>36.5</m:t>
        </m:r>
      </m:oMath>
      <w:r>
        <w:t xml:space="preserve"> </w:t>
      </w:r>
      <w:r>
        <w:t xml:space="preserve">to</w:t>
      </w:r>
      <w:r>
        <w:t xml:space="preserve"> </w:t>
      </w:r>
      <m:oMath>
        <m:r>
          <m:t>41.3</m:t>
        </m:r>
      </m:oMath>
      <w:r>
        <w:t xml:space="preserve">) from a weak instrument (risk difference 6%, F = 0.8).</w:t>
      </w:r>
    </w:p>
    <w:p>
      <w:pPr>
        <w:pStyle w:val="Compact"/>
        <w:numPr>
          <w:ilvl w:val="0"/>
          <w:numId w:val="1023"/>
        </w:numPr>
      </w:pPr>
      <w:r>
        <w:t xml:space="preserve">Weak instruments widen intervals, amplify bias, and are biased in finite samples;</w:t>
      </w:r>
      <w:r>
        <w:t xml:space="preserve"> </w:t>
      </w:r>
      <w:r>
        <w:t xml:space="preserve">violations of (ii) and (iii) are inflated by the small denominator.</w:t>
      </w:r>
    </w:p>
    <w:bookmarkStart w:id="56" w:name="refs"/>
    <w:bookmarkStart w:id="55" w:name="ref-hernan2020causal"/>
    <w:p>
      <w:pPr>
        <w:pStyle w:val="Bibliography"/>
      </w:pPr>
      <w:r>
        <w:t xml:space="preserve">Hernán, Miguel A, and James M Robins. 2020.</w:t>
      </w:r>
      <w:r>
        <w:t xml:space="preserve"> </w:t>
      </w:r>
      <w:r>
        <w:rPr>
          <w:i/>
          <w:iCs/>
        </w:rPr>
        <w:t xml:space="preserve">Causal Inference: What If</w:t>
      </w:r>
      <w:r>
        <w:t xml:space="preserve">. Chapman &amp; Hall/CRC.</w:t>
      </w:r>
      <w:r>
        <w:t xml:space="preserve"> </w:t>
      </w:r>
      <w:hyperlink r:id="rId54">
        <w:r>
          <w:rPr>
            <w:rStyle w:val="Hyperlink"/>
          </w:rPr>
          <w:t xml:space="preserve">https://miguelhernan.org/whatifbook</w:t>
        </w:r>
      </w:hyperlink>
      <w:r>
        <w:t xml:space="preserve">.</w:t>
      </w:r>
    </w:p>
    <w:bookmarkEnd w:id="55"/>
    <w:bookmarkEnd w:id="56"/>
    <w:bookmarkEnd w:id="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1"/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1"/>
  </w:num>
  <w:num w:numId="1020">
    <w:abstractNumId w:val="991"/>
  </w:num>
  <w:num w:numId="102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54" Target="https://miguelhernan.org/whatif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4" Target="https://miguelhernan.org/whatif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16: Instrumental Variable Estimation</dc:title>
  <dc:creator/>
  <cp:keywords/>
  <dcterms:created xsi:type="dcterms:W3CDTF">2026-10-09T09:52:31Z</dcterms:created>
  <dcterms:modified xsi:type="dcterms:W3CDTF">2026-10-09T09:52:31Z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editor">
    <vt:lpwstr/>
  </property>
  <property fmtid="{D5CDD505-2E9C-101B-9397-08002B2CF9AE}" pid="7" name="editor_options">
    <vt:lpwstr/>
  </property>
  <property fmtid="{D5CDD505-2E9C-101B-9397-08002B2CF9AE}" pid="8" name="header-includes">
    <vt:lpwstr/>
  </property>
  <property fmtid="{D5CDD505-2E9C-101B-9397-08002B2CF9AE}" pid="9" name="include-after">
    <vt:lpwstr/>
  </property>
  <property fmtid="{D5CDD505-2E9C-101B-9397-08002B2CF9AE}" pid="10" name="include-before">
    <vt:lpwstr/>
  </property>
  <property fmtid="{D5CDD505-2E9C-101B-9397-08002B2CF9AE}" pid="11" name="knitr">
    <vt:lpwstr/>
  </property>
  <property fmtid="{D5CDD505-2E9C-101B-9397-08002B2CF9AE}" pid="12" name="labels">
    <vt:lpwstr/>
  </property>
  <property fmtid="{D5CDD505-2E9C-101B-9397-08002B2CF9AE}" pid="13" name="number-depth">
    <vt:lpwstr>3</vt:lpwstr>
  </property>
  <property fmtid="{D5CDD505-2E9C-101B-9397-08002B2CF9AE}" pid="14" name="preview-changed">
    <vt:lpwstr>True</vt:lpwstr>
  </property>
  <property fmtid="{D5CDD505-2E9C-101B-9397-08002B2CF9AE}" pid="15" name="toc-title">
    <vt:lpwstr>Table of contents</vt:lpwstr>
  </property>
</Properties>
</file>