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2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Nonparametric Models</w:t>
      </w:r>
    </w:p>
    <w:p>
      <w:pPr>
        <w:pStyle w:val="Date"/>
      </w:pPr>
      <w:r>
        <w:t xml:space="preserve">Last modified: 2026-09-29 00:05:17 (PDT)</w:t>
      </w:r>
    </w:p>
    <w:bookmarkStart w:id="11" w:name="empirical-cdf"/>
    <w:p>
      <w:pPr>
        <w:pStyle w:val="Heading2"/>
      </w:pPr>
      <w:r>
        <w:t xml:space="preserve">1 Empirical CDF</w:t>
      </w:r>
    </w:p>
    <w:bookmarkStart w:id="9" w:name="def-empirical-cdf"/>
    <w:p>
      <w:pPr>
        <w:pStyle w:val="FirstParagraph"/>
      </w:pPr>
      <w:r>
        <w:rPr>
          <w:b/>
          <w:bCs/>
        </w:rPr>
        <w:t xml:space="preserve">Definition 1 (Empirical CDF)</w:t>
      </w:r>
      <w:r>
        <w:t xml:space="preserve"> </w:t>
      </w:r>
      <w:r>
        <w:t xml:space="preserve">For observed values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empirical cumulative distribution function</w:t>
      </w:r>
      <w:r>
        <w:t xml:space="preserve"> </w:t>
      </w:r>
      <w:r>
        <w:t xml:space="preserve">(</w:t>
      </w:r>
      <w:r>
        <w:rPr>
          <w:b/>
          <w:bCs/>
        </w:rPr>
        <w:t xml:space="preserve">empirical CDF</w:t>
      </w:r>
      <w:r>
        <w:t xml:space="preserve">)</w:t>
      </w:r>
      <w:r>
        <w:t xml:space="preserve"> </w:t>
      </w:r>
      <w:r>
        <w:t xml:space="preserve">is the function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F</m:t>
              </m:r>
            </m:e>
          </m:acc>
          <m:r>
            <m:rPr>
              <m:sty m:val="p"/>
            </m:rPr>
            <m:t>(</m:t>
          </m:r>
          <m:r>
            <m:t>t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f>
            <m:fPr>
              <m:type m:val="bar"/>
            </m:fPr>
            <m:num>
              <m:r>
                <m:t>1</m:t>
              </m:r>
            </m:num>
            <m:den>
              <m:r>
                <m:t>n</m:t>
              </m:r>
            </m:den>
          </m:f>
          <m:nary>
            <m:naryPr>
              <m:chr m:val="∑"/>
              <m:limLoc m:val="undOvr"/>
              <m:subHide m:val="off"/>
              <m:supHide m:val="off"/>
            </m:naryPr>
            <m:sub>
              <m:r>
                <m:t>j</m:t>
              </m:r>
              <m:r>
                <m:rPr>
                  <m:sty m:val="p"/>
                </m:rPr>
                <m:t>=</m:t>
              </m:r>
              <m:r>
                <m:t>1</m:t>
              </m:r>
            </m:sub>
            <m:sup>
              <m:r>
                <m:t>n</m:t>
              </m:r>
            </m:sup>
            <m:e>
              <m:r>
                <m:t>I</m:t>
              </m:r>
            </m:e>
          </m:nary>
          <m:r>
            <m:rPr>
              <m:sty m:val="p"/>
            </m:rPr>
            <m:t>(</m:t>
          </m:r>
          <m:sSub>
            <m:e>
              <m:r>
                <m:t>x</m:t>
              </m:r>
            </m:e>
            <m:sub>
              <m:r>
                <m:t>j</m:t>
              </m:r>
            </m:sub>
          </m:sSub>
          <m:r>
            <m:rPr>
              <m:sty m:val="p"/>
            </m:rPr>
            <m:t>≤</m:t>
          </m:r>
          <m:r>
            <m:t>t</m:t>
          </m:r>
          <m:r>
            <m:rPr>
              <m:sty m:val="p"/>
            </m:rPr>
            <m:t>)</m:t>
          </m:r>
          <m:r>
            <m:rPr>
              <m:sty m:val="p"/>
            </m:rPr>
            <m:t>,</m:t>
          </m:r>
          <m:r>
            <m:t> </m:t>
          </m:r>
          <m:r>
            <m:t>t</m:t>
          </m:r>
          <m:r>
            <m:rPr>
              <m:sty m:val="p"/>
            </m:rPr>
            <m:t>∈</m:t>
          </m:r>
          <m:r>
            <m:rPr>
              <m:scr m:val="double-struck"/>
              <m:sty m:val="p"/>
            </m:rPr>
            <m:t>R</m:t>
          </m:r>
          <m:r>
            <m:rPr>
              <m:sty m:val="p"/>
            </m:rPr>
            <m:t>,</m:t>
          </m:r>
        </m:oMath>
      </m:oMathPara>
    </w:p>
    <w:p>
      <w:pPr>
        <w:pStyle w:val="FirstParagraph"/>
      </w:pPr>
      <w:r>
        <w:t xml:space="preserve">where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</m:oMath>
      <w:r>
        <w:t xml:space="preserve"> </w:t>
      </w:r>
      <w:r>
        <w:t xml:space="preserve">is the indicator function: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if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holds,</w:t>
      </w:r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(</m:t>
        </m:r>
        <m:r>
          <m:t>A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otherwise.</w:t>
      </w:r>
    </w:p>
    <w:bookmarkEnd w:id="9"/>
    <w:bookmarkStart w:id="10" w:name="exm-empirical-cdf"/>
    <w:p>
      <w:pPr>
        <w:pStyle w:val="BodyText"/>
      </w:pPr>
      <w:r>
        <w:rPr>
          <w:b/>
          <w:bCs/>
        </w:rPr>
        <w:t xml:space="preserve">Example 1 (Numerical example: empirical CDF)</w:t>
      </w:r>
      <w:r>
        <w:t xml:space="preserve"> </w:t>
      </w:r>
      <w:r>
        <w:t xml:space="preserve">Suppose the observed values are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3</m:t>
        </m:r>
      </m:oMath>
      <w:r>
        <w:t xml:space="preserve">, so</w:t>
      </w:r>
      <w:r>
        <w:t xml:space="preserve"> </w:t>
      </w:r>
      <m:oMath>
        <m:r>
          <m:t>n</m:t>
        </m:r>
        <m:r>
          <m:rPr>
            <m:sty m:val="p"/>
          </m:rPr>
          <m:t>=</m:t>
        </m:r>
        <m:r>
          <m:t>4</m:t>
        </m:r>
      </m:oMath>
      <w:r>
        <w:t xml:space="preserve">.</w:t>
      </w:r>
      <w:r>
        <w:t xml:space="preserve"> </w:t>
      </w:r>
      <w:r>
        <w:t xml:space="preserve">Two of the four values (1 and 3) are at most 3.5,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3.5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4</m:t>
                  </m:r>
                  <m:r>
                    <m:rPr>
                      <m:sty m:val="p"/>
                    </m:rPr>
                    <m:t>≤</m:t>
                  </m:r>
                  <m:r>
                    <m:t>3.5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1</m:t>
                  </m:r>
                  <m:r>
                    <m:rPr>
                      <m:sty m:val="p"/>
                    </m:rPr>
                    <m:t>≤</m:t>
                  </m:r>
                  <m:r>
                    <m:t>3.5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7</m:t>
                  </m:r>
                  <m:r>
                    <m:rPr>
                      <m:sty m:val="p"/>
                    </m:rPr>
                    <m:t>≤</m:t>
                  </m:r>
                  <m:r>
                    <m:t>3.5</m:t>
                  </m:r>
                  <m:r>
                    <m:rPr>
                      <m:sty m:val="p"/>
                    </m:rPr>
                    <m:t>)</m:t>
                  </m:r>
                  <m:r>
                    <m:rPr>
                      <m:sty m:val="p"/>
                    </m:rPr>
                    <m:t>+</m:t>
                  </m:r>
                  <m:r>
                    <m:t>I</m:t>
                  </m:r>
                  <m:r>
                    <m:rPr>
                      <m:sty m:val="p"/>
                    </m:rPr>
                    <m:t>(</m:t>
                  </m:r>
                  <m:r>
                    <m:t>3</m:t>
                  </m:r>
                  <m:r>
                    <m:rPr>
                      <m:sty m:val="p"/>
                    </m:rPr>
                    <m:t>≤</m:t>
                  </m:r>
                  <m:r>
                    <m:t>3.5</m:t>
                  </m:r>
                  <m:r>
                    <m:rPr>
                      <m:sty m:val="p"/>
                    </m:rPr>
                    <m:t>)</m:t>
                  </m:r>
                </m:e>
              </m:d>
              <m:r>
                <m:t>​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(definition of 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nor/>
                  <m:sty m:val="p"/>
                </m:rPr>
                <m:t>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f>
                <m:fPr>
                  <m:type m:val="bar"/>
                </m:fPr>
                <m:num>
                  <m:r>
                    <m:t>1</m:t>
                  </m:r>
                </m:num>
                <m:den>
                  <m:r>
                    <m:t>4</m:t>
                  </m:r>
                </m:den>
              </m:f>
              <m:r>
                <m:rPr>
                  <m:sty m:val="p"/>
                </m:rPr>
                <m:t>(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+</m:t>
              </m:r>
              <m:r>
                <m:t>0</m:t>
              </m:r>
              <m:r>
                <m:rPr>
                  <m:sty m:val="p"/>
                </m:rPr>
                <m:t>+</m:t>
              </m:r>
              <m:r>
                <m:t>1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(evaluate each indicator)</m:t>
              </m:r>
            </m:e>
            <m:e>
              <m:r>
                <m:t>&amp;</m:t>
              </m:r>
              <m:r>
                <m:rPr>
                  <m:sty m:val="p"/>
                </m:rPr>
                <m:t>=</m:t>
              </m:r>
              <m:r>
                <m:t>0.5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(arithmetic)</m:t>
              </m:r>
            </m:e>
          </m:eqArr>
        </m:oMath>
      </m:oMathPara>
    </w:p>
    <w:p>
      <w:pPr>
        <w:pStyle w:val="FirstParagraph"/>
      </w:pPr>
      <w:r>
        <w:t xml:space="preserve">Similarly,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0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</m:t>
        </m:r>
      </m:oMath>
      <w:r>
        <w:t xml:space="preserve">, because no value is at most 0,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7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, because every value is at most 7.</w:t>
      </w:r>
    </w:p>
    <w:bookmarkEnd w:id="10"/>
    <w:bookmarkEnd w:id="11"/>
    <w:bookmarkStart w:id="14" w:name="order-statistics"/>
    <w:p>
      <w:pPr>
        <w:pStyle w:val="Heading2"/>
      </w:pPr>
      <w:r>
        <w:t xml:space="preserve">2 Order statistics</w:t>
      </w:r>
    </w:p>
    <w:bookmarkStart w:id="12" w:name="def-order-statistics"/>
    <w:p>
      <w:pPr>
        <w:pStyle w:val="FirstParagraph"/>
      </w:pPr>
      <w:r>
        <w:rPr>
          <w:b/>
          <w:bCs/>
        </w:rPr>
        <w:t xml:space="preserve">Definition 2 (Order statistics)</w:t>
      </w:r>
      <w:r>
        <w:t xml:space="preserve"> </w:t>
      </w:r>
      <w:r>
        <w:t xml:space="preserve">For observed values</w:t>
      </w:r>
      <w:r>
        <w:t xml:space="preserve"> </w:t>
      </w:r>
      <m:oMath>
        <m:sSub>
          <m:e>
            <m:r>
              <m:t>x</m:t>
            </m:r>
          </m:e>
          <m:sub>
            <m:r>
              <m:t>1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t>n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order statistics</w:t>
      </w:r>
      <w:r>
        <w:t xml:space="preserve"> </w:t>
      </w:r>
      <w:r>
        <w:t xml:space="preserve">are the same values sorted in increasing order,</w:t>
      </w:r>
      <w:r>
        <w:t xml:space="preserve"> </w:t>
      </w:r>
      <w:r>
        <w:t xml:space="preserve">written</w:t>
      </w:r>
    </w:p>
    <w:p>
      <w:pPr>
        <w:pStyle w:val="BodyText"/>
      </w:pPr>
      <m:oMathPara>
        <m:oMathParaPr>
          <m:jc m:val="center"/>
        </m:oMathParaPr>
        <m:oMath>
          <m:sSub>
            <m:e>
              <m:r>
                <m:t>x</m:t>
              </m:r>
            </m:e>
            <m:sub>
              <m:r>
                <m:rPr>
                  <m:sty m:val="p"/>
                </m:rPr>
                <m:t>(</m:t>
              </m:r>
              <m:r>
                <m:t>1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≤</m:t>
          </m:r>
          <m:sSub>
            <m:e>
              <m:r>
                <m:t>x</m:t>
              </m:r>
            </m:e>
            <m:sub>
              <m:r>
                <m:rPr>
                  <m:sty m:val="p"/>
                </m:rPr>
                <m:t>(</m:t>
              </m:r>
              <m:r>
                <m:t>2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≤</m:t>
          </m:r>
          <m:r>
            <m:rPr>
              <m:sty m:val="p"/>
            </m:rPr>
            <m:t>⋯</m:t>
          </m:r>
          <m:r>
            <m:rPr>
              <m:sty m:val="p"/>
            </m:rPr>
            <m:t>≤</m:t>
          </m:r>
          <m:sSub>
            <m:e>
              <m:r>
                <m:t>x</m:t>
              </m:r>
            </m:e>
            <m:sub>
              <m:r>
                <m:rPr>
                  <m:sty m:val="p"/>
                </m:rPr>
                <m:t>(</m:t>
              </m:r>
              <m:r>
                <m:t>n</m:t>
              </m:r>
              <m:r>
                <m:rPr>
                  <m:sty m:val="p"/>
                </m:rPr>
                <m:t>)</m:t>
              </m:r>
            </m:sub>
          </m:sSub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 smallest value and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is the largest.</w:t>
      </w:r>
    </w:p>
    <w:bookmarkEnd w:id="12"/>
    <w:bookmarkStart w:id="13" w:name="exm-order-statistics"/>
    <w:p>
      <w:pPr>
        <w:pStyle w:val="BodyText"/>
      </w:pPr>
      <w:r>
        <w:rPr>
          <w:b/>
          <w:bCs/>
        </w:rPr>
        <w:t xml:space="preserve">Example 2 (Numerical example: order statistics)</w:t>
      </w:r>
      <w:r>
        <w:t xml:space="preserve"> </w:t>
      </w:r>
      <w:r>
        <w:t xml:space="preserve">If the observed values are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w:r>
        <w:t xml:space="preserve">then the order statistics are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r>
          <m:t>1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2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r>
          <m:t>3</m:t>
        </m:r>
      </m:oMath>
      <w:r>
        <w:t xml:space="preserve">,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3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r>
          <m:t>4</m:t>
        </m:r>
      </m:oMath>
      <w:r>
        <w:t xml:space="preserve">, and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4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=</m:t>
        </m:r>
        <m:r>
          <m:t>7</m:t>
        </m:r>
      </m:oMath>
      <w:r>
        <w:t xml:space="preserve">.</w:t>
      </w:r>
    </w:p>
    <w:bookmarkEnd w:id="13"/>
    <w:bookmarkEnd w:id="14"/>
    <w:bookmarkStart w:id="21" w:name="sample-quantiles"/>
    <w:p>
      <w:pPr>
        <w:pStyle w:val="Heading2"/>
      </w:pPr>
      <w:r>
        <w:t xml:space="preserve">3 Sample quantiles</w:t>
      </w:r>
    </w:p>
    <w:bookmarkStart w:id="15" w:name="def-sample-quantile"/>
    <w:p>
      <w:pPr>
        <w:pStyle w:val="FirstParagraph"/>
      </w:pPr>
      <w:r>
        <w:rPr>
          <w:b/>
          <w:bCs/>
        </w:rPr>
        <w:t xml:space="preserve">Definition 3 (Sample quantile function)</w:t>
      </w:r>
      <w:r>
        <w:t xml:space="preserve"> </w:t>
      </w:r>
      <w:r>
        <w:t xml:space="preserve">Given an</w:t>
      </w:r>
      <w:r>
        <w:t xml:space="preserve"> </w:t>
      </w:r>
      <w:hyperlink w:anchor="def-empirical-cdf">
        <w:r>
          <w:rPr>
            <w:rStyle w:val="Hyperlink"/>
          </w:rPr>
          <w:t xml:space="preserve">empirical CDF</w:t>
        </w:r>
      </w:hyperlink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sample quantile function</w:t>
      </w:r>
      <w:r>
        <w:t xml:space="preserve"> </w:t>
      </w:r>
      <w:r>
        <w:t xml:space="preserve">(also called the</w:t>
      </w:r>
      <w:r>
        <w:t xml:space="preserve"> </w:t>
      </w:r>
      <w:r>
        <w:rPr>
          <w:b/>
          <w:bCs/>
        </w:rPr>
        <w:t xml:space="preserve">empirical quantile function</w:t>
      </w:r>
      <w:r>
        <w:t xml:space="preserve">)</w:t>
      </w:r>
      <w:r>
        <w:t xml:space="preserve"> </w:t>
      </w:r>
      <w:r>
        <w:t xml:space="preserve">is</w:t>
      </w:r>
    </w:p>
    <w:p>
      <w:pPr>
        <w:pStyle w:val="BodyText"/>
      </w:pPr>
      <m:oMathPara>
        <m:oMathParaPr>
          <m:jc m:val="center"/>
        </m:oMathParaPr>
        <m:oMath>
          <m:acc>
            <m:accPr>
              <m:chr m:val="̂"/>
            </m:accPr>
            <m:e>
              <m:r>
                <m:t>Q</m:t>
              </m:r>
            </m:e>
          </m:acc>
          <m:r>
            <m:rPr>
              <m:sty m:val="p"/>
            </m:rPr>
            <m:t>(</m:t>
          </m:r>
          <m:r>
            <m:t>p</m:t>
          </m:r>
          <m:r>
            <m:rPr>
              <m:sty m:val="p"/>
            </m:rPr>
            <m:t>)</m:t>
          </m:r>
          <m:limUpp>
            <m:e>
              <m:r>
                <m:rPr>
                  <m:sty m:val="p"/>
                </m:rPr>
                <m:t>=</m:t>
              </m:r>
            </m:e>
            <m:lim>
              <m:r>
                <m:rPr>
                  <m:nor/>
                  <m:sty m:val="p"/>
                </m:rPr>
                <m:t>def</m:t>
              </m:r>
            </m:lim>
          </m:limUpp>
          <m:r>
            <m:rPr>
              <m:sty m:val="p"/>
            </m:rPr>
            <m:t>inf</m:t>
          </m:r>
          <m:r>
            <m:t>​</m:t>
          </m:r>
          <m:d>
            <m:dPr>
              <m:begChr m:val="{"/>
              <m:sepChr m:val=""/>
              <m:endChr m:val="}"/>
              <m:grow/>
            </m:dPr>
            <m:e>
              <m:r>
                <m:t>t</m:t>
              </m:r>
              <m:r>
                <m:rPr>
                  <m:sty m:val="p"/>
                </m:rPr>
                <m:t>:</m:t>
              </m:r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≥</m:t>
              </m:r>
              <m:r>
                <m:t>p</m:t>
              </m:r>
            </m:e>
          </m:d>
          <m:r>
            <m:t>​</m:t>
          </m:r>
          <m:r>
            <m:rPr>
              <m:sty m:val="p"/>
            </m:rPr>
            <m:t>,</m:t>
          </m:r>
          <m:r>
            <m:t> </m:t>
          </m:r>
          <m:r>
            <m:t>0</m:t>
          </m:r>
          <m:r>
            <m:rPr>
              <m:sty m:val="p"/>
            </m:rPr>
            <m:t>&lt;</m:t>
          </m:r>
          <m:r>
            <m:t>p</m:t>
          </m:r>
          <m:r>
            <m:rPr>
              <m:sty m:val="p"/>
            </m:rPr>
            <m:t>≤</m:t>
          </m:r>
          <m:r>
            <m:t>1</m:t>
          </m:r>
          <m:r>
            <m:rPr>
              <m:sty m:val="p"/>
            </m:rPr>
            <m:t>.</m:t>
          </m:r>
        </m:oMath>
      </m:oMathPara>
    </w:p>
    <w:p>
      <w:pPr>
        <w:pStyle w:val="FirstParagraph"/>
      </w:pPr>
      <w:r>
        <w:t xml:space="preserve">For a given</w:t>
      </w:r>
      <w:r>
        <w:t xml:space="preserve"> </w:t>
      </w:r>
      <m:oMath>
        <m:r>
          <m:t>p</m:t>
        </m:r>
      </m:oMath>
      <w:r>
        <w:t xml:space="preserve">, the value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</m:oMath>
      <w:r>
        <w:t xml:space="preserve"> </w:t>
      </w:r>
      <w:r>
        <w:t xml:space="preserve">is the</w:t>
      </w:r>
      <w:r>
        <w:t xml:space="preserve"> </w:t>
      </w:r>
      <w:r>
        <w:rPr>
          <w:b/>
          <w:bCs/>
        </w:rPr>
        <w:t xml:space="preserve">sample</w:t>
      </w:r>
      <w:r>
        <w:rPr>
          <w:b/>
          <w:bCs/>
        </w:rPr>
        <w:t xml:space="preserve"> </w:t>
      </w:r>
      <m:oMath>
        <m:r>
          <m:t>p</m:t>
        </m:r>
      </m:oMath>
      <w:r>
        <w:rPr>
          <w:b/>
          <w:bCs/>
        </w:rPr>
        <w:t xml:space="preserve"> </w:t>
      </w:r>
      <w:r>
        <w:rPr>
          <w:b/>
          <w:bCs/>
        </w:rPr>
        <w:t xml:space="preserve">quantile</w:t>
      </w:r>
      <w:r>
        <w:t xml:space="preserve">,</w:t>
      </w:r>
      <w:r>
        <w:t xml:space="preserve"> </w:t>
      </w:r>
      <w:r>
        <w:t xml:space="preserve">also called the</w:t>
      </w:r>
      <w:r>
        <w:t xml:space="preserve"> </w:t>
      </w:r>
      <w:r>
        <w:rPr>
          <w:b/>
          <w:bCs/>
        </w:rPr>
        <w:t xml:space="preserve">sample</w:t>
      </w:r>
      <w:r>
        <w:rPr>
          <w:b/>
          <w:bCs/>
        </w:rPr>
        <w:t xml:space="preserve"> </w:t>
      </w:r>
      <m:oMath>
        <m:r>
          <m:t>100</m:t>
        </m:r>
        <m:r>
          <m:t>p</m:t>
        </m:r>
      </m:oMath>
      <w:r>
        <w:rPr>
          <w:b/>
          <w:bCs/>
        </w:rPr>
        <w:t xml:space="preserve">th percentile</w:t>
      </w:r>
      <w:r>
        <w:t xml:space="preserve">.</w:t>
      </w:r>
    </w:p>
    <w:bookmarkEnd w:id="15"/>
    <w:p>
      <w:pPr>
        <w:pStyle w:val="BodyText"/>
      </w:pPr>
      <w:r>
        <w:t xml:space="preserve">The</w:t>
      </w:r>
      <w:r>
        <w:t xml:space="preserve"> </w:t>
      </w:r>
      <w:hyperlink r:id="rId16">
        <w:r>
          <w:rPr>
            <w:rStyle w:val="Hyperlink"/>
          </w:rPr>
          <w:t xml:space="preserve">CDF</w:t>
        </w:r>
      </w:hyperlink>
      <w:r>
        <w:t xml:space="preserve"> </w:t>
      </w:r>
      <m:oMath>
        <m:r>
          <m:t>F</m:t>
        </m:r>
      </m:oMath>
      <w:r>
        <w:t xml:space="preserve"> </w:t>
      </w:r>
      <w:r>
        <w:t xml:space="preserve">and the</w:t>
      </w:r>
      <w:r>
        <w:t xml:space="preserve"> </w:t>
      </w:r>
      <w:hyperlink r:id="rId17">
        <w:r>
          <w:rPr>
            <w:rStyle w:val="Hyperlink"/>
          </w:rPr>
          <w:t xml:space="preserve">quantile function</w:t>
        </w:r>
      </w:hyperlink>
      <w:r>
        <w:t xml:space="preserve"> </w:t>
      </w:r>
      <m:oMath>
        <m:r>
          <m:t>Q</m:t>
        </m:r>
      </m:oMath>
      <w:r>
        <w:t xml:space="preserve"> </w:t>
      </w:r>
      <w:r>
        <w:t xml:space="preserve">describe a probability distribution,</w:t>
      </w:r>
      <w:r>
        <w:t xml:space="preserve"> </w:t>
      </w:r>
      <w:r>
        <w:t xml:space="preserve">while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</m:oMath>
      <w:r>
        <w:t xml:space="preserve"> </w:t>
      </w:r>
      <w:r>
        <w:t xml:space="preserve">describe a sample,</w:t>
      </w:r>
      <w:r>
        <w:t xml:space="preserve"> </w:t>
      </w:r>
      <w:r>
        <w:t xml:space="preserve">and serve as estimates of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and</w:t>
      </w:r>
      <w:r>
        <w:t xml:space="preserve"> </w:t>
      </w:r>
      <m:oMath>
        <m:r>
          <m:t>Q</m:t>
        </m:r>
      </m:oMath>
      <w:r>
        <w:t xml:space="preserve">.</w:t>
      </w:r>
    </w:p>
    <w:bookmarkStart w:id="18" w:name="thm-sample-quantile-order-statistics"/>
    <w:p>
      <w:pPr>
        <w:pStyle w:val="BodyText"/>
      </w:pPr>
      <w:r>
        <w:rPr>
          <w:b/>
          <w:bCs/>
        </w:rPr>
        <w:t xml:space="preserve">Theorem 1 (Order-statistics form of the sample quantile)</w:t>
      </w:r>
      <w:r>
        <w:t xml:space="preserve"> </w:t>
      </w:r>
      <w:r>
        <w:t xml:space="preserve">If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≤</m:t>
        </m:r>
        <m:r>
          <m:rPr>
            <m:sty m:val="p"/>
          </m:rPr>
          <m:t>⋯</m:t>
        </m:r>
        <m:r>
          <m:rPr>
            <m:sty m:val="p"/>
          </m:rPr>
          <m:t>≤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are the</w:t>
      </w:r>
      <w:r>
        <w:t xml:space="preserve"> </w:t>
      </w:r>
      <w:hyperlink w:anchor="def-order-statistics">
        <w:r>
          <w:rPr>
            <w:rStyle w:val="Hyperlink"/>
          </w:rPr>
          <w:t xml:space="preserve">order statistics</w:t>
        </w:r>
      </w:hyperlink>
      <w:r>
        <w:t xml:space="preserve"> </w:t>
      </w:r>
      <w:r>
        <w:t xml:space="preserve">and</w:t>
      </w:r>
      <w:r>
        <w:t xml:space="preserve"> </w:t>
      </w:r>
      <m:oMath>
        <m:r>
          <m:t>i</m:t>
        </m:r>
        <m:r>
          <m:rPr>
            <m:sty m:val="p"/>
          </m:rPr>
          <m:t>∈</m:t>
        </m:r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1</m:t>
            </m:r>
            <m:r>
              <m:rPr>
                <m:sty m:val="p"/>
              </m:rPr>
              <m:t>,</m:t>
            </m:r>
            <m:r>
              <m:rPr>
                <m:sty m:val="p"/>
              </m:rPr>
              <m:t>…</m:t>
            </m:r>
            <m:r>
              <m:rPr>
                <m:sty m:val="p"/>
              </m:rPr>
              <m:t>,</m:t>
            </m:r>
            <m:r>
              <m:t>n</m:t>
            </m:r>
          </m:e>
        </m:d>
        <m:r>
          <m:t>​</m:t>
        </m:r>
      </m:oMath>
      <w:r>
        <w:t xml:space="preserve">,</w:t>
      </w:r>
      <w:r>
        <w:t xml:space="preserve"> </w:t>
      </w:r>
      <w:r>
        <w:t xml:space="preserve">then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for every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  <w:r>
        <w:t xml:space="preserve"> </w:t>
      </w:r>
      <w:r>
        <w:t xml:space="preserve">In particular,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i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</w:p>
    <w:bookmarkEnd w:id="18"/>
    <w:p>
      <w:pPr>
        <w:pStyle w:val="BodyText"/>
      </w:pPr>
      <w:r>
        <w:rPr>
          <w:i/>
          <w:iCs/>
        </w:rPr>
        <w:t xml:space="preserve">Proof</w:t>
      </w:r>
      <w:r>
        <w:t xml:space="preserve">. </w:t>
      </w:r>
      <w:r>
        <w:t xml:space="preserve">Fix</w:t>
      </w:r>
      <w:r>
        <w:t xml:space="preserve"> </w:t>
      </w:r>
      <m:oMath>
        <m:r>
          <m:t>p</m:t>
        </m:r>
      </m:oMath>
      <w:r>
        <w:t xml:space="preserve"> </w:t>
      </w:r>
      <w:r>
        <w:t xml:space="preserve">with</w:t>
      </w:r>
      <w:r>
        <w:t xml:space="preserve"> </w:t>
      </w:r>
      <m:oMath>
        <m:r>
          <m:rPr>
            <m:sty m:val="p"/>
          </m:rPr>
          <m:t>(</m:t>
        </m:r>
        <m:r>
          <m:t>i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)</m:t>
        </m:r>
        <m:r>
          <m:rPr>
            <m:sty m:val="p"/>
          </m:rPr>
          <m:t>/</m:t>
        </m:r>
        <m:r>
          <m:t>n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i</m:t>
        </m:r>
        <m:r>
          <m:rPr>
            <m:sty m:val="p"/>
          </m:rPr>
          <m:t>/</m:t>
        </m:r>
        <m:r>
          <m:t>n</m:t>
        </m:r>
      </m:oMath>
      <w:r>
        <w:t xml:space="preserve">.</w:t>
      </w:r>
    </w:p>
    <w:p>
      <w:pPr>
        <w:pStyle w:val="BodyText"/>
      </w:pPr>
      <w:r>
        <w:t xml:space="preserve">For any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n</m:t>
        </m:r>
        <m:r>
          <m:rPr>
            <m:sty m:val="p"/>
          </m:rPr>
          <m:t>−</m:t>
        </m:r>
        <m:r>
          <m:t>i</m:t>
        </m:r>
        <m:r>
          <m:rPr>
            <m:sty m:val="p"/>
          </m:rPr>
          <m:t>+</m:t>
        </m:r>
        <m:r>
          <m:t>1</m:t>
        </m:r>
      </m:oMath>
      <w:r>
        <w:t xml:space="preserve"> </w:t>
      </w:r>
      <w:r>
        <w:t xml:space="preserve">values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n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all exceed</w:t>
      </w:r>
      <w:r>
        <w:t xml:space="preserve"> </w:t>
      </w:r>
      <m:oMath>
        <m:r>
          <m:t>t</m:t>
        </m:r>
      </m:oMath>
      <w:r>
        <w:t xml:space="preserve">,</w:t>
      </w:r>
      <w:r>
        <w:t xml:space="preserve"> </w:t>
      </w:r>
      <w:r>
        <w:t xml:space="preserve">so at most</w:t>
      </w:r>
      <w:r>
        <w:t xml:space="preserve"> </w:t>
      </w:r>
      <m:oMath>
        <m:r>
          <m:t>i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values are at most</w:t>
      </w:r>
      <w:r>
        <w:t xml:space="preserve"> </w:t>
      </w:r>
      <m:oMath>
        <m:r>
          <m:t>t</m:t>
        </m:r>
      </m:oMath>
      <w:r>
        <w:t xml:space="preserve">, and: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rPr>
                  <m:sty m:val="p"/>
                </m:rPr>
                <m:t>(</m:t>
              </m:r>
              <m:r>
                <m:t>t</m:t>
              </m:r>
              <m:r>
                <m:rPr>
                  <m:sty m:val="p"/>
                </m:rPr>
                <m:t>)</m:t>
              </m:r>
              <m:r>
                <m:t>&amp;</m:t>
              </m:r>
              <m:r>
                <m:rPr>
                  <m:sty m:val="p"/>
                </m:rPr>
                <m:t>≤</m:t>
              </m:r>
              <m:f>
                <m:fPr>
                  <m:type m:val="bar"/>
                </m:fPr>
                <m:num>
                  <m:r>
                    <m:t>i</m:t>
                  </m:r>
                  <m:r>
                    <m:rPr>
                      <m:sty m:val="p"/>
                    </m:rPr>
                    <m:t>−</m:t>
                  </m:r>
                  <m:r>
                    <m:t>1</m:t>
                  </m:r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(at most </m:t>
              </m:r>
              <m:r>
                <m:t>i</m:t>
              </m:r>
              <m:r>
                <m:rPr>
                  <m:sty m:val="p"/>
                </m:rPr>
                <m:t>−</m:t>
              </m:r>
              <m:r>
                <m:t>1</m:t>
              </m:r>
              <m:r>
                <m:rPr>
                  <m:nor/>
                  <m:sty m:val="p"/>
                </m:rPr>
                <m:t> indicators equal 1)</m:t>
              </m:r>
            </m:e>
            <m:e>
              <m:r>
                <m:t>&amp;</m:t>
              </m:r>
              <m:r>
                <m:rPr>
                  <m:sty m:val="p"/>
                </m:rPr>
                <m:t>&lt;</m:t>
              </m:r>
              <m:r>
                <m:t>p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(choice of 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 no</w:t>
      </w:r>
      <w:r>
        <w:t xml:space="preserve"> </w:t>
      </w:r>
      <m:oMath>
        <m:r>
          <m:t>t</m:t>
        </m:r>
        <m:r>
          <m:rPr>
            <m:sty m:val="p"/>
          </m:rPr>
          <m:t>&lt;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belongs to the set</w:t>
      </w:r>
      <w:r>
        <w:t xml:space="preserve"> </w:t>
      </w:r>
      <m:oMath>
        <m:r>
          <m:t>​</m:t>
        </m:r>
        <m:d>
          <m:dPr>
            <m:begChr m:val="{"/>
            <m:sepChr m:val=""/>
            <m:endChr m:val="}"/>
            <m:grow/>
          </m:dPr>
          <m:e>
            <m:r>
              <m:t>t</m:t>
            </m:r>
            <m:r>
              <m:rPr>
                <m:sty m:val="p"/>
              </m:rPr>
              <m:t>:</m:t>
            </m:r>
            <m:acc>
              <m:accPr>
                <m:chr m:val="̂"/>
              </m:accPr>
              <m:e>
                <m:r>
                  <m:t>F</m:t>
                </m:r>
              </m:e>
            </m:acc>
            <m:r>
              <m:rPr>
                <m:sty m:val="p"/>
              </m:rPr>
              <m:t>(</m:t>
            </m:r>
            <m:r>
              <m:t>t</m:t>
            </m:r>
            <m:r>
              <m:rPr>
                <m:sty m:val="p"/>
              </m:rPr>
              <m:t>)</m:t>
            </m:r>
            <m:r>
              <m:rPr>
                <m:sty m:val="p"/>
              </m:rPr>
              <m:t>≥</m:t>
            </m:r>
            <m:r>
              <m:t>p</m:t>
            </m:r>
          </m:e>
        </m:d>
        <m:r>
          <m:t>​</m:t>
        </m:r>
      </m:oMath>
      <w:r>
        <w:t xml:space="preserve">.</w:t>
      </w:r>
    </w:p>
    <w:p>
      <w:pPr>
        <w:pStyle w:val="BodyText"/>
      </w:pPr>
      <w:r>
        <w:t xml:space="preserve">At</w:t>
      </w:r>
      <w:r>
        <w:t xml:space="preserve"> </w:t>
      </w:r>
      <m:oMath>
        <m:r>
          <m:t>t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the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values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  <m:r>
          <m:rPr>
            <m:sty m:val="p"/>
          </m:rPr>
          <m:t>,</m:t>
        </m:r>
        <m:r>
          <m:rPr>
            <m:sty m:val="p"/>
          </m:rPr>
          <m:t>…</m:t>
        </m:r>
        <m:r>
          <m:rPr>
            <m:sty m:val="p"/>
          </m:rPr>
          <m:t>,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are all at most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, so:</w:t>
      </w:r>
    </w:p>
    <w:p>
      <w:pPr>
        <w:pStyle w:val="BodyText"/>
      </w:pPr>
      <m:oMathPara>
        <m:oMathParaPr>
          <m:jc m:val="center"/>
        </m:oMathParaPr>
        <m:oMath>
          <m:eqArr>
            <m:e>
              <m:acc>
                <m:accPr>
                  <m:chr m:val="̂"/>
                </m:accPr>
                <m:e>
                  <m:r>
                    <m:t>F</m:t>
                  </m:r>
                </m:e>
              </m:acc>
              <m:r>
                <m:t>​</m:t>
              </m:r>
              <m:d>
                <m:dPr>
                  <m:begChr m:val="("/>
                  <m:sepChr m:val=""/>
                  <m:endChr m:val=")"/>
                  <m:grow/>
                </m:dPr>
                <m:e>
                  <m:sSub>
                    <m:e>
                      <m:r>
                        <m:t>x</m:t>
                      </m:r>
                    </m:e>
                    <m:sub>
                      <m:r>
                        <m:rPr>
                          <m:sty m:val="p"/>
                        </m:rPr>
                        <m:t>(</m:t>
                      </m:r>
                      <m:r>
                        <m:t>i</m:t>
                      </m:r>
                      <m:r>
                        <m:rPr>
                          <m:sty m:val="p"/>
                        </m:rPr>
                        <m:t>)</m:t>
                      </m:r>
                    </m:sub>
                  </m:sSub>
                </m:e>
              </m:d>
              <m:r>
                <m:t>​</m:t>
              </m:r>
              <m:r>
                <m:t>&amp;</m:t>
              </m:r>
              <m:r>
                <m:rPr>
                  <m:sty m:val="p"/>
                </m:rPr>
                <m:t>≥</m:t>
              </m:r>
              <m:f>
                <m:fPr>
                  <m:type m:val="bar"/>
                </m:fPr>
                <m:num>
                  <m:r>
                    <m:t>i</m:t>
                  </m:r>
                </m:num>
                <m:den>
                  <m:r>
                    <m:t>n</m:t>
                  </m:r>
                </m:den>
              </m:f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(at least </m:t>
              </m:r>
              <m:r>
                <m:t>i</m:t>
              </m:r>
              <m:r>
                <m:rPr>
                  <m:nor/>
                  <m:sty m:val="p"/>
                </m:rPr>
                <m:t> indicators equal 1)</m:t>
              </m:r>
            </m:e>
            <m:e>
              <m:r>
                <m:t>&amp;</m:t>
              </m:r>
              <m:r>
                <m:rPr>
                  <m:sty m:val="p"/>
                </m:rPr>
                <m:t>≥</m:t>
              </m:r>
              <m:r>
                <m:t>p</m:t>
              </m:r>
              <m:r>
                <m:t>&amp;</m:t>
              </m:r>
              <m:r>
                <m:t>&amp;</m:t>
              </m:r>
              <m:r>
                <m:rPr>
                  <m:nor/>
                  <m:sty m:val="p"/>
                </m:rPr>
                <m:t>(choice of </m:t>
              </m:r>
              <m:r>
                <m:t>p</m:t>
              </m:r>
              <m:r>
                <m:rPr>
                  <m:nor/>
                  <m:sty m:val="p"/>
                </m:rPr>
                <m:t>)</m:t>
              </m:r>
            </m:e>
          </m:eqArr>
        </m:oMath>
      </m:oMathPara>
    </w:p>
    <w:p>
      <w:pPr>
        <w:pStyle w:val="FirstParagraph"/>
      </w:pPr>
      <w:r>
        <w:t xml:space="preserve">So</w:t>
      </w:r>
      <w:r>
        <w:t xml:space="preserve"> </w:t>
      </w:r>
      <m:oMath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 </w:t>
      </w:r>
      <w:r>
        <w:t xml:space="preserve">belongs to the set,</w:t>
      </w:r>
      <w:r>
        <w:t xml:space="preserve"> </w:t>
      </w:r>
      <w:r>
        <w:t xml:space="preserve">and it is the smallest member of the set,</w:t>
      </w:r>
      <w:r>
        <w:t xml:space="preserve"> </w:t>
      </w:r>
      <w:r>
        <w:t xml:space="preserve">because no smaller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belongs to it.</w:t>
      </w:r>
      <w:r>
        <w:t xml:space="preserve"> </w:t>
      </w:r>
      <w:r>
        <w:t xml:space="preserve">Therefore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i</m:t>
            </m:r>
            <m:r>
              <m:rPr>
                <m:sty m:val="p"/>
              </m:rPr>
              <m:t>)</m:t>
            </m:r>
          </m:sub>
        </m:sSub>
      </m:oMath>
      <w:r>
        <w:t xml:space="preserve">.</w:t>
      </w:r>
    </w:p>
    <w:bookmarkStart w:id="19" w:name="exm-sample-quantile"/>
    <w:p>
      <w:pPr>
        <w:pStyle w:val="BodyText"/>
      </w:pPr>
      <w:r>
        <w:rPr>
          <w:b/>
          <w:bCs/>
        </w:rPr>
        <w:t xml:space="preserve">Example 3 (Numerical example: sample quantiles)</w:t>
      </w:r>
      <w:r>
        <w:t xml:space="preserve"> </w:t>
      </w:r>
      <w:r>
        <w:t xml:space="preserve">Using the same data</w:t>
      </w:r>
      <w:r>
        <w:t xml:space="preserve"> </w:t>
      </w:r>
      <m:oMath>
        <m:r>
          <m:t>4</m:t>
        </m:r>
        <m:r>
          <m:rPr>
            <m:sty m:val="p"/>
          </m:rPr>
          <m:t>,</m:t>
        </m:r>
        <m:r>
          <m:t>1</m:t>
        </m:r>
        <m:r>
          <m:rPr>
            <m:sty m:val="p"/>
          </m:rPr>
          <m:t>,</m:t>
        </m:r>
        <m:r>
          <m:t>7</m:t>
        </m:r>
        <m:r>
          <m:rPr>
            <m:sty m:val="p"/>
          </m:rPr>
          <m:t>,</m:t>
        </m:r>
        <m:r>
          <m:t>3</m:t>
        </m:r>
      </m:oMath>
      <w:r>
        <w:t xml:space="preserve">,</w:t>
      </w:r>
      <w:r>
        <w:t xml:space="preserve"> </w:t>
      </w:r>
      <w:r>
        <w:t xml:space="preserve">with order statistics</w:t>
      </w:r>
      <w:r>
        <w:t xml:space="preserve"> </w:t>
      </w:r>
      <m:oMath>
        <m:r>
          <m:t>1</m:t>
        </m:r>
        <m:r>
          <m:rPr>
            <m:sty m:val="p"/>
          </m:rPr>
          <m:t>,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,</m:t>
        </m:r>
        <m:r>
          <m:t>7</m:t>
        </m:r>
      </m:oMath>
      <w:r>
        <w:t xml:space="preserve">,</w:t>
      </w:r>
      <w:r>
        <w:t xml:space="preserve"> </w:t>
      </w:r>
      <w:hyperlink w:anchor="thm-sample-quantile-order-statistics">
        <w:r>
          <w:rPr>
            <w:rStyle w:val="Hyperlink"/>
          </w:rPr>
          <w:t xml:space="preserve">Theorem 1</w:t>
        </w:r>
      </w:hyperlink>
      <w:r>
        <w:t xml:space="preserve"> </w:t>
      </w:r>
      <w:r>
        <w:t xml:space="preserve">says the sample quantile function is a step function:</w:t>
      </w:r>
    </w:p>
    <w:p>
      <w:pPr>
        <w:pStyle w:val="Compact"/>
        <w:numPr>
          <w:ilvl w:val="0"/>
          <w:numId w:val="1001"/>
        </w:numPr>
      </w:pP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0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4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1</m:t>
        </m:r>
        <m:r>
          <m:rPr>
            <m:sty m:val="p"/>
          </m:rPr>
          <m:t>/</m:t>
        </m:r>
        <m:r>
          <m:t>2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4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1</m:t>
        </m:r>
        <m:r>
          <m:rPr>
            <m:sty m:val="p"/>
          </m:rPr>
          <m:t>/</m:t>
        </m:r>
        <m:r>
          <m:t>2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3</m:t>
        </m:r>
        <m:r>
          <m:rPr>
            <m:sty m:val="p"/>
          </m:rPr>
          <m:t>/</m:t>
        </m:r>
        <m:r>
          <m:t>4</m:t>
        </m:r>
      </m:oMath>
      <w:r>
        <w:t xml:space="preserve">;</w:t>
      </w:r>
    </w:p>
    <w:p>
      <w:pPr>
        <w:pStyle w:val="Compact"/>
        <w:numPr>
          <w:ilvl w:val="0"/>
          <w:numId w:val="1001"/>
        </w:numPr>
      </w:pP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p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 </w:t>
      </w:r>
      <w:r>
        <w:t xml:space="preserve">for</w:t>
      </w:r>
      <w:r>
        <w:t xml:space="preserve"> </w:t>
      </w:r>
      <m:oMath>
        <m:r>
          <m:t>3</m:t>
        </m:r>
        <m:r>
          <m:rPr>
            <m:sty m:val="p"/>
          </m:rPr>
          <m:t>/</m:t>
        </m:r>
        <m:r>
          <m:t>4</m:t>
        </m:r>
        <m:r>
          <m:rPr>
            <m:sty m:val="p"/>
          </m:rPr>
          <m:t>&lt;</m:t>
        </m:r>
        <m:r>
          <m:t>p</m:t>
        </m:r>
        <m:r>
          <m:rPr>
            <m:sty m:val="p"/>
          </m:rPr>
          <m:t>≤</m:t>
        </m:r>
        <m:r>
          <m:t>1</m:t>
        </m:r>
      </m:oMath>
      <w:r>
        <w:t xml:space="preserve">.</w:t>
      </w:r>
    </w:p>
    <w:p>
      <w:pPr>
        <w:pStyle w:val="FirstParagraph"/>
      </w:pP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0.5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3</m:t>
        </m:r>
      </m:oMath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r>
          <m:t>0.9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7</m:t>
        </m:r>
      </m:oMath>
      <w:r>
        <w:t xml:space="preserve">.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quantile()</w:t>
      </w:r>
      <w:r>
        <w:t xml:space="preserve"> </w:t>
      </w:r>
      <w:r>
        <w:t xml:space="preserve">function computes this definition when called with</w:t>
      </w:r>
      <w:r>
        <w:t xml:space="preserve"> </w:t>
      </w:r>
      <w:r>
        <w:rPr>
          <w:rStyle w:val="VerbatimChar"/>
        </w:rPr>
        <w:t xml:space="preserve">type = 1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quantile</w:t>
      </w:r>
      <w:r>
        <w:rPr>
          <w:rStyle w:val="NormalTok"/>
        </w:rPr>
        <w:t xml:space="preserve">(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DecValTok"/>
        </w:rPr>
        <w:t xml:space="preserve">4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,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probs =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c</w:t>
      </w:r>
      <w:r>
        <w:rPr>
          <w:rStyle w:val="NormalTok"/>
        </w:rPr>
        <w:t xml:space="preserve">(</w:t>
      </w:r>
      <w:r>
        <w:rPr>
          <w:rStyle w:val="FloatTok"/>
        </w:rPr>
        <w:t xml:space="preserve">0.5</w:t>
      </w:r>
      <w:r>
        <w:rPr>
          <w:rStyle w:val="NormalTok"/>
        </w:rPr>
        <w:t xml:space="preserve">, </w:t>
      </w:r>
      <w:r>
        <w:rPr>
          <w:rStyle w:val="FloatTok"/>
        </w:rPr>
        <w:t xml:space="preserve">0.9</w:t>
      </w:r>
      <w:r>
        <w:rPr>
          <w:rStyle w:val="NormalTok"/>
        </w:rPr>
        <w:t xml:space="preserve">), </w:t>
      </w:r>
      <w:r>
        <w:rPr>
          <w:rStyle w:val="AttributeTok"/>
        </w:rPr>
        <w:t xml:space="preserve">type 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)</w:t>
      </w:r>
      <w:r>
        <w:br/>
      </w:r>
      <w:r>
        <w:rPr>
          <w:rStyle w:val="CommentTok"/>
        </w:rPr>
        <w:t xml:space="preserve">#&gt; 50% 90% </w:t>
      </w:r>
      <w:r>
        <w:br/>
      </w:r>
      <w:r>
        <w:rPr>
          <w:rStyle w:val="CommentTok"/>
        </w:rPr>
        <w:t xml:space="preserve">#&gt;   3   7</w:t>
      </w:r>
    </w:p>
    <w:bookmarkEnd w:id="19"/>
    <w:bookmarkStart w:id="20" w:name="quantile-conventions"/>
    <w:p>
      <w:pPr>
        <w:pStyle w:val="FirstParagraph"/>
      </w:pPr>
      <w:r>
        <w:t xml:space="preserve">Other sources, and other software defaults, define sample quantiles differently,</w:t>
      </w:r>
      <w:r>
        <w:t xml:space="preserve"> </w:t>
      </w:r>
      <w:r>
        <w:t xml:space="preserve">mostly by interpolating between order statistics.</w:t>
      </w:r>
      <w:r>
        <w:t xml:space="preserve"> </w:t>
      </w:r>
      <w:r>
        <w:t xml:space="preserve">R’s</w:t>
      </w:r>
      <w:r>
        <w:t xml:space="preserve"> </w:t>
      </w:r>
      <w:r>
        <w:rPr>
          <w:rStyle w:val="VerbatimChar"/>
        </w:rPr>
        <w:t xml:space="preserve">quantile()</w:t>
      </w:r>
      <w:r>
        <w:t xml:space="preserve"> </w:t>
      </w:r>
      <w:r>
        <w:t xml:space="preserve">offers nine definitions through its</w:t>
      </w:r>
      <w:r>
        <w:t xml:space="preserve"> </w:t>
      </w:r>
      <w:r>
        <w:rPr>
          <w:rStyle w:val="VerbatimChar"/>
        </w:rPr>
        <w:t xml:space="preserve">type</w:t>
      </w:r>
      <w:r>
        <w:t xml:space="preserve"> </w:t>
      </w:r>
      <w:r>
        <w:t xml:space="preserve">argument,</w:t>
      </w:r>
      <w:r>
        <w:t xml:space="preserve"> </w:t>
      </w:r>
      <w:r>
        <w:t xml:space="preserve">and its default (</w:t>
      </w:r>
      <w:r>
        <w:rPr>
          <w:rStyle w:val="VerbatimChar"/>
        </w:rPr>
        <w:t xml:space="preserve">type = 7</w:t>
      </w:r>
      <w:r>
        <w:t xml:space="preserve">) interpolates,</w:t>
      </w:r>
      <w:r>
        <w:t xml:space="preserve"> </w:t>
      </w:r>
      <w:r>
        <w:t xml:space="preserve">so</w:t>
      </w:r>
      <w:r>
        <w:t xml:space="preserve"> </w:t>
      </w:r>
      <w:r>
        <w:rPr>
          <w:rStyle w:val="VerbatimChar"/>
        </w:rPr>
        <w:t xml:space="preserve">quantile(c(4, 1, 7, 3), 0.5)</w:t>
      </w:r>
      <w:r>
        <w:t xml:space="preserve"> </w:t>
      </w:r>
      <w:r>
        <w:t xml:space="preserve">returns 3.5, not 3.</w:t>
      </w:r>
      <w:r>
        <w:t xml:space="preserve"> </w:t>
      </w:r>
      <w:r>
        <w:t xml:space="preserve">The usual sample median is another interpolated quantile:</w:t>
      </w:r>
      <w:r>
        <w:t xml:space="preserve"> </w:t>
      </w:r>
      <w:r>
        <w:t xml:space="preserve">for an even number of observations,</w:t>
      </w:r>
      <w:r>
        <w:t xml:space="preserve"> </w:t>
      </w:r>
      <w:r>
        <w:t xml:space="preserve">it averages the two middle order statistics.</w:t>
      </w:r>
      <w:r>
        <w:t xml:space="preserve"> </w:t>
      </w:r>
      <w:r>
        <w:t xml:space="preserve">These notes use</w:t>
      </w:r>
      <w:r>
        <w:t xml:space="preserve"> </w:t>
      </w:r>
      <w:hyperlink w:anchor="def-sample-quantile">
        <w:r>
          <w:rPr>
            <w:rStyle w:val="Hyperlink"/>
          </w:rPr>
          <w:t xml:space="preserve">Definition 3</w:t>
        </w:r>
      </w:hyperlink>
      <w:r>
        <w:t xml:space="preserve">,</w:t>
      </w:r>
      <w:r>
        <w:t xml:space="preserve"> </w:t>
      </w:r>
      <w:r>
        <w:t xml:space="preserve">which always returns one of the observed values.</w:t>
      </w:r>
    </w:p>
    <w:bookmarkEnd w:id="20"/>
    <w:bookmarkEnd w:id="21"/>
    <w:bookmarkStart w:id="31" w:name="X098afd29d2cc0af81e1daaf31ade1d91d7df2a7"/>
    <w:p>
      <w:pPr>
        <w:pStyle w:val="Heading2"/>
      </w:pPr>
      <w:r>
        <w:t xml:space="preserve">4 The empirical CDF and quantile function as generalized inverses</w:t>
      </w:r>
    </w:p>
    <w:bookmarkStart w:id="30" w:name="fig-ecdf-sample-quantile-example"/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3880"/>
        <w:gridCol w:w="3880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5" w:name="fig-ecdf-example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x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4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7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3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n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length</w:t>
                  </w:r>
                  <w:r>
                    <w:rPr>
                      <w:rStyle w:val="NormalTok"/>
                    </w:rPr>
                    <w:t xml:space="preserve">(x)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x_ord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sort</w:t>
                  </w:r>
                  <w:r>
                    <w:rPr>
                      <w:rStyle w:val="NormalTok"/>
                    </w:rPr>
                    <w:t xml:space="preserve">(x)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p_ord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seq_len</w:t>
                  </w:r>
                  <w:r>
                    <w:rPr>
                      <w:rStyle w:val="NormalTok"/>
                    </w:rPr>
                    <w:t xml:space="preserve">(n) </w:t>
                  </w:r>
                  <w:r>
                    <w:rPr>
                      <w:rStyle w:val="SpecialCharTok"/>
                    </w:rPr>
                    <w:t xml:space="preserve">/</w:t>
                  </w:r>
                  <w:r>
                    <w:rPr>
                      <w:rStyle w:val="NormalTok"/>
                    </w:rPr>
                    <w:t xml:space="preserve"> n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ecdf_x_padding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0.8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x_min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min</w:t>
                  </w:r>
                  <w:r>
                    <w:rPr>
                      <w:rStyle w:val="NormalTok"/>
                    </w:rPr>
                    <w:t xml:space="preserve">(x_ord)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ecdf_x_padding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x_max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max</w:t>
                  </w:r>
                  <w:r>
                    <w:rPr>
                      <w:rStyle w:val="NormalTok"/>
                    </w:rPr>
                    <w:t xml:space="preserve">(x_ord)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ecdf_x_padding</w:t>
                  </w:r>
                  <w:r>
                    <w:br/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x_left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(x_min, x_ord)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x_right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(x_ord, x_max)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f_levels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p_ord)</w:t>
                  </w:r>
                  <w:r>
                    <w:br/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(x_min, x_max),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FloatTok"/>
                    </w:rPr>
                    <w:t xml:space="preserve">1.05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"t"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hat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plain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StringTok"/>
                    </w:rPr>
                    <w:t xml:space="preserve">"F"</w:t>
                  </w:r>
                  <w:r>
                    <w:rPr>
                      <w:rStyle w:val="NormalTok"/>
                    </w:rPr>
                    <w:t xml:space="preserve">))(t))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segments</w:t>
                  </w:r>
                  <w:r>
                    <w:rPr>
                      <w:rStyle w:val="NormalTok"/>
                    </w:rPr>
                    <w:t xml:space="preserve">(x_left, f_levels, x_right, f_levels,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points</w:t>
                  </w:r>
                  <w:r>
                    <w:rPr>
                      <w:rStyle w:val="NormalTok"/>
                    </w:rPr>
                    <w:t xml:space="preserve">(x_ord, f_levels[</w:t>
                  </w:r>
                  <w:r>
                    <w:rPr>
                      <w:rStyle w:val="FunctionTok"/>
                    </w:rPr>
                    <w:t xml:space="preserve">seq_len</w:t>
                  </w:r>
                  <w:r>
                    <w:rPr>
                      <w:rStyle w:val="NormalTok"/>
                    </w:rPr>
                    <w:t xml:space="preserve">(n)], </w:t>
                  </w:r>
                  <w:r>
                    <w:rPr>
                      <w:rStyle w:val="AttributeTok"/>
                    </w:rPr>
                    <w:t xml:space="preserve">pch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points</w:t>
                  </w:r>
                  <w:r>
                    <w:rPr>
                      <w:rStyle w:val="NormalTok"/>
                    </w:rPr>
                    <w:t xml:space="preserve">(x_ord, f_levels[</w:t>
                  </w:r>
                  <w:r>
                    <w:rPr>
                      <w:rStyle w:val="FunctionTok"/>
                    </w:rPr>
                    <w:t xml:space="preserve">seq_len</w:t>
                  </w:r>
                  <w:r>
                    <w:rPr>
                      <w:rStyle w:val="NormalTok"/>
                    </w:rPr>
                    <w:t xml:space="preserve">(n)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], </w:t>
                  </w:r>
                  <w:r>
                    <w:rPr>
                      <w:rStyle w:val="AttributeTok"/>
                    </w:rPr>
                    <w:t xml:space="preserve">pch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3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nonparametric-models_files/figure-docx/unnamed-chunk-2-1.png" id="24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2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(a) Empirical CDF, horizontal pieces only.</w:t>
                  </w:r>
                  <w:r>
                    <w:t xml:space="preserve"> </w:t>
                  </w:r>
                  <w:r>
                    <w:t xml:space="preserve">Closed circles mark included endpoints;</w:t>
                  </w:r>
                  <w:r>
                    <w:t xml:space="preserve"> </w:t>
                  </w:r>
                  <w:r>
                    <w:t xml:space="preserve">open circles mark excluded endpoints.</w:t>
                  </w:r>
                </w:p>
                <w:bookmarkEnd w:id="25"/>
              </w:tc>
            </w:tr>
          </w:tbl>
          <w:p/>
        </w:tc>
        <w:tc>
          <w:tcPr/>
          <w:p>
            <w:pPr>
              <w:jc w:val="left"/>
            </w:pPr>
            <w:r>
              <w:t xml:space="preserve"> </w:t>
            </w:r>
          </w:p>
        </w:tc>
      </w:tr>
    </w:tbl>
    <w:p>
      <w:pPr>
        <w:framePr w:w="0" w:h="0" w:vAnchor="margin" w:hAnchor="margin" w:xAlign="right" w:yAlign="top"/>
      </w:pPr>
    </w:p>
    <w:tbl>
      <w:tblPr>
        <w:tblStyle w:val="Table"/>
        <w:tblW w:type="pct" w:w="4900"/>
        <w:tblLayout w:type="fixed"/>
        <w:tblLook w:firstRow="0" w:lastRow="0" w:firstColumn="0" w:lastColumn="0" w:noHBand="0" w:noVBand="0" w:val="0000"/>
      </w:tblPr>
      <w:tblGrid>
        <w:gridCol w:w="7761"/>
      </w:tblGrid>
      <w:tr>
        <w:tc>
          <w:tcPr/>
          <w:tbl>
            <w:tblPr>
              <w:tblStyle w:val="Table"/>
              <w:tblW w:type="pct" w:w="4900"/>
              <w:tblLayout w:type="fixed"/>
              <w:tblLook w:firstRow="0" w:lastRow="0" w:firstColumn="0" w:lastColumn="0" w:noHBand="0" w:noVBand="0" w:val="0000"/>
            </w:tblPr>
            <w:tblGrid>
              <w:gridCol w:w="7761"/>
            </w:tblGrid>
            <w:tr>
              <w:tc>
                <w:tcPr/>
                <w:bookmarkStart w:id="29" w:name="fig-eqf-example"/>
                <w:p>
                  <w:pPr>
                    <w:pStyle w:val="SourceCode"/>
                    <w:jc w:val="center"/>
                    <w:jc w:val="left"/>
                  </w:pPr>
                  <w:r>
                    <w:rPr>
                      <w:rStyle w:val="NormalTok"/>
                    </w:rPr>
                    <w:t xml:space="preserve">eqf_y_padding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loatTok"/>
                    </w:rPr>
                    <w:t xml:space="preserve">0.5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q_left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p_ord[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n])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q_right </w:t>
                  </w:r>
                  <w:r>
                    <w:rPr>
                      <w:rStyle w:val="OtherTok"/>
                    </w:rPr>
                    <w:t xml:space="preserve">&lt;-</w:t>
                  </w:r>
                  <w:r>
                    <w:rPr>
                      <w:rStyle w:val="NormalTok"/>
                    </w:rPr>
                    <w:t xml:space="preserve"> p_ord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plot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type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"n"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DecValTok"/>
                    </w:rPr>
                    <w:t xml:space="preserve">0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ylim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c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min</w:t>
                  </w:r>
                  <w:r>
                    <w:rPr>
                      <w:rStyle w:val="NormalTok"/>
                    </w:rPr>
                    <w:t xml:space="preserve">(x_ord) </w:t>
                  </w:r>
                  <w:r>
                    <w:rPr>
                      <w:rStyle w:val="SpecialCharTok"/>
                    </w:rPr>
                    <w:t xml:space="preserve">-</w:t>
                  </w:r>
                  <w:r>
                    <w:rPr>
                      <w:rStyle w:val="NormalTok"/>
                    </w:rPr>
                    <w:t xml:space="preserve"> eqf_y_padding, </w:t>
                  </w:r>
                  <w:r>
                    <w:rPr>
                      <w:rStyle w:val="FunctionTok"/>
                    </w:rPr>
                    <w:t xml:space="preserve">max</w:t>
                  </w:r>
                  <w:r>
                    <w:rPr>
                      <w:rStyle w:val="NormalTok"/>
                    </w:rPr>
                    <w:t xml:space="preserve">(x_ord) </w:t>
                  </w:r>
                  <w:r>
                    <w:rPr>
                      <w:rStyle w:val="SpecialCharTok"/>
                    </w:rPr>
                    <w:t xml:space="preserve">+</w:t>
                  </w:r>
                  <w:r>
                    <w:rPr>
                      <w:rStyle w:val="NormalTok"/>
                    </w:rPr>
                    <w:t xml:space="preserve"> eqf_y_padding),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xlab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"p"</w:t>
                  </w:r>
                  <w:r>
                    <w:rPr>
                      <w:rStyle w:val="NormalTok"/>
                    </w:rPr>
                    <w:t xml:space="preserve">,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  </w:t>
                  </w:r>
                  <w:r>
                    <w:rPr>
                      <w:rStyle w:val="AttributeTok"/>
                    </w:rPr>
                    <w:t xml:space="preserve">ylab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FunctionTok"/>
                    </w:rPr>
                    <w:t xml:space="preserve">expression</w:t>
                  </w:r>
                  <w:r>
                    <w:rPr>
                      <w:rStyle w:val="NormalTok"/>
                    </w:rPr>
                    <w:t xml:space="preserve">(</w:t>
                  </w:r>
                  <w:r>
                    <w:rPr>
                      <w:rStyle w:val="FunctionTok"/>
                    </w:rPr>
                    <w:t xml:space="preserve">hat</w:t>
                  </w:r>
                  <w:r>
                    <w:rPr>
                      <w:rStyle w:val="NormalTok"/>
                    </w:rPr>
                    <w:t xml:space="preserve">(Q)(p))</w:t>
                  </w:r>
                  <w:r>
                    <w:br/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segments</w:t>
                  </w:r>
                  <w:r>
                    <w:rPr>
                      <w:rStyle w:val="NormalTok"/>
                    </w:rPr>
                    <w:t xml:space="preserve">(q_left, x_ord, q_right, x_ord, </w:t>
                  </w:r>
                  <w:r>
                    <w:rPr>
                      <w:rStyle w:val="AttributeTok"/>
                    </w:rPr>
                    <w:t xml:space="preserve">lwd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2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points</w:t>
                  </w:r>
                  <w:r>
                    <w:rPr>
                      <w:rStyle w:val="NormalTok"/>
                    </w:rPr>
                    <w:t xml:space="preserve">(q_left, x_ord, </w:t>
                  </w:r>
                  <w:r>
                    <w:rPr>
                      <w:rStyle w:val="AttributeTok"/>
                    </w:rPr>
                    <w:t xml:space="preserve">pch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  <w:r>
                    <w:br/>
                  </w:r>
                  <w:r>
                    <w:rPr>
                      <w:rStyle w:val="FunctionTok"/>
                    </w:rPr>
                    <w:t xml:space="preserve">points</w:t>
                  </w:r>
                  <w:r>
                    <w:rPr>
                      <w:rStyle w:val="NormalTok"/>
                    </w:rPr>
                    <w:t xml:space="preserve">(q_right, x_ord, </w:t>
                  </w:r>
                  <w:r>
                    <w:rPr>
                      <w:rStyle w:val="AttributeTok"/>
                    </w:rPr>
                    <w:t xml:space="preserve">pch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DecValTok"/>
                    </w:rPr>
                    <w:t xml:space="preserve">19</w:t>
                  </w:r>
                  <w:r>
                    <w:rPr>
                      <w:rStyle w:val="NormalTok"/>
                    </w:rPr>
                    <w:t xml:space="preserve">, </w:t>
                  </w:r>
                  <w:r>
                    <w:rPr>
                      <w:rStyle w:val="AttributeTok"/>
                    </w:rPr>
                    <w:t xml:space="preserve">col =</w:t>
                  </w:r>
                  <w:r>
                    <w:rPr>
                      <w:rStyle w:val="NormalTok"/>
                    </w:rPr>
                    <w:t xml:space="preserve"> </w:t>
                  </w:r>
                  <w:r>
                    <w:rPr>
                      <w:rStyle w:val="StringTok"/>
                    </w:rPr>
                    <w:t xml:space="preserve">"blue"</w:t>
                  </w:r>
                  <w:r>
                    <w:rPr>
                      <w:rStyle w:val="NormalTok"/>
                    </w:rPr>
                    <w:t xml:space="preserve">)</w:t>
                  </w:r>
                </w:p>
                <w:p>
                  <w:pPr>
                    <w:jc w:val="center"/>
                    <w:jc w:val="left"/>
                  </w:pPr>
                  <w:r>
                    <w:drawing>
                      <wp:inline>
                        <wp:extent cx="2971800" cy="2377440"/>
                        <wp:effectExtent b="0" l="0" r="0" t="0"/>
                        <wp:docPr descr="" title="" id="27" name="Picture"/>
                        <a:graphic>
                          <a:graphicData uri="http://schemas.openxmlformats.org/drawingml/2006/picture">
                            <pic:pic>
                              <pic:nvPicPr>
                                <pic:cNvPr descr="nonparametric-models_files/figure-docx/unnamed-chunk-3-1.png" id="28" name="Picture"/>
                                <pic:cNvPicPr>
                                  <a:picLocks noChangeArrowheads="1" noChangeAspect="1"/>
                                </pic:cNvPicPr>
                              </pic:nvPicPr>
                              <pic:blipFill>
                                <a:blip r:embed="rId26"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971800" cy="237744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  <a:headEnd/>
                                  <a:tailEnd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jc w:val="center"/>
                    <w:jc w:val="left"/>
                  </w:pPr>
                  <w:pPr>
                    <w:jc w:val="left"/>
                    <w:spacing w:before="200"/>
                    <w:pStyle w:val="ImageCaption"/>
                  </w:pPr>
                  <w:r>
                    <w:t xml:space="preserve">(b) Sample quantile function, horizontal pieces only.</w:t>
                  </w:r>
                  <w:r>
                    <w:t xml:space="preserve"> </w:t>
                  </w:r>
                  <w:r>
                    <w:t xml:space="preserve">Open circles mark excluded left endpoints;</w:t>
                  </w:r>
                  <w:r>
                    <w:t xml:space="preserve"> </w:t>
                  </w:r>
                  <w:r>
                    <w:t xml:space="preserve">closed circles mark included right endpoints.</w:t>
                  </w:r>
                </w:p>
                <w:bookmarkEnd w:id="29"/>
              </w:tc>
            </w:tr>
          </w:tbl>
          <w:p/>
        </w:tc>
      </w:tr>
    </w:tbl>
    <w:p>
      <w:pPr>
        <w:pStyle w:val="BodyText"/>
      </w:pPr>
      <w:pPr>
        <w:spacing w:before="200"/>
        <w:pStyle w:val="ImageCaption"/>
      </w:pPr>
      <w:r>
        <w:t xml:space="preserve">Figure 1: The empirical CDF and the sample quantile function</w:t>
      </w:r>
      <w:r>
        <w:t xml:space="preserve"> </w:t>
      </w:r>
      <w:r>
        <w:t xml:space="preserve">for the data 4, 1, 7, 3</w:t>
      </w:r>
      <w:r>
        <w:t xml:space="preserve"> </w:t>
      </w:r>
      <w:r>
        <w:t xml:space="preserve">(order statistics 1, 3, 4, 7).</w:t>
      </w:r>
    </w:p>
    <w:bookmarkEnd w:id="30"/>
    <w:p>
      <w:pPr>
        <w:pStyle w:val="BodyText"/>
      </w:pPr>
      <w:r>
        <w:t xml:space="preserve">Both functions in</w:t>
      </w:r>
      <w:r>
        <w:t xml:space="preserve"> </w:t>
      </w:r>
      <w:hyperlink w:anchor="fig-ecdf-sample-quantile-example">
        <w:r>
          <w:rPr>
            <w:rStyle w:val="Hyperlink"/>
          </w:rPr>
          <w:t xml:space="preserve">Figure 1</w:t>
        </w:r>
      </w:hyperlink>
      <w:r>
        <w:t xml:space="preserve"> </w:t>
      </w:r>
      <w:r>
        <w:t xml:space="preserve">are step functions,</w:t>
      </w:r>
      <w:r>
        <w:t xml:space="preserve"> </w:t>
      </w:r>
      <w:r>
        <w:t xml:space="preserve">so neither is one-to-one.</w:t>
      </w:r>
      <w:r>
        <w:t xml:space="preserve"> </w:t>
      </w:r>
      <w:r>
        <w:t xml:space="preserve">Each flat piece of one function</w:t>
      </w:r>
      <w:r>
        <w:t xml:space="preserve"> </w:t>
      </w:r>
      <w:r>
        <w:t xml:space="preserve">corresponds to a jump of the other:</w:t>
      </w:r>
      <w:r>
        <w:t xml:space="preserve"> </w:t>
      </w:r>
      <w:r>
        <w:t xml:space="preserve">for example,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=</m:t>
        </m:r>
        <m:r>
          <m:t>0.5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∈</m:t>
        </m:r>
        <m:r>
          <m:rPr>
            <m:sty m:val="p"/>
          </m:rPr>
          <m:t>[</m:t>
        </m:r>
        <m:r>
          <m:t>3</m:t>
        </m:r>
        <m:r>
          <m:rPr>
            <m:sty m:val="p"/>
          </m:rPr>
          <m:t>,</m:t>
        </m:r>
        <m:r>
          <m:t>4</m:t>
        </m:r>
        <m:r>
          <m:rPr>
            <m:sty m:val="p"/>
          </m:rPr>
          <m:t>)</m:t>
        </m:r>
      </m:oMath>
      <w:r>
        <w:t xml:space="preserve">,</w:t>
      </w:r>
      <w:r>
        <w:t xml:space="preserve"> </w:t>
      </w:r>
      <w:r>
        <w:t xml:space="preserve">and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</m:oMath>
      <w:r>
        <w:t xml:space="preserve"> </w:t>
      </w:r>
      <w:r>
        <w:t xml:space="preserve">jumps from 3 to 4 at</w:t>
      </w:r>
      <w:r>
        <w:t xml:space="preserve"> </w:t>
      </w:r>
      <m:oMath>
        <m:r>
          <m:t>p</m:t>
        </m:r>
        <m:r>
          <m:rPr>
            <m:sty m:val="p"/>
          </m:rPr>
          <m:t>=</m:t>
        </m:r>
        <m:r>
          <m:t>0.5</m:t>
        </m:r>
      </m:oMath>
      <w:r>
        <w:t xml:space="preserve">.</w:t>
      </w:r>
      <w:r>
        <w:t xml:space="preserve"> </w:t>
      </w:r>
      <w:r>
        <w:t xml:space="preserve">So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</m:oMath>
      <w:r>
        <w:t xml:space="preserve"> </w:t>
      </w:r>
      <w:r>
        <w:t xml:space="preserve">is a</w:t>
      </w:r>
      <w:r>
        <w:t xml:space="preserve"> </w:t>
      </w:r>
      <w:r>
        <w:rPr>
          <w:i/>
          <w:iCs/>
        </w:rPr>
        <w:t xml:space="preserve">generalized</w:t>
      </w:r>
      <w:r>
        <w:t xml:space="preserve"> </w:t>
      </w:r>
      <w:r>
        <w:t xml:space="preserve">inverse of</w:t>
      </w:r>
      <w:r>
        <w:t xml:space="preserve"> </w:t>
      </w:r>
      <m:oMath>
        <m:acc>
          <m:accPr>
            <m:chr m:val="̂"/>
          </m:accPr>
          <m:e>
            <m:r>
              <m:t>F</m:t>
            </m:r>
          </m:e>
        </m:acc>
      </m:oMath>
      <w:r>
        <w:t xml:space="preserve">,</w:t>
      </w:r>
      <w:r>
        <w:t xml:space="preserve"> </w:t>
      </w:r>
      <w:r>
        <w:t xml:space="preserve">not an inverse in the usual sense:</w:t>
      </w:r>
      <w:r>
        <w:t xml:space="preserve"> </w:t>
      </w:r>
      <m:oMath>
        <m:acc>
          <m:accPr>
            <m:chr m:val="̂"/>
          </m:accPr>
          <m:e>
            <m:r>
              <m:t>Q</m:t>
            </m:r>
          </m:e>
        </m:acc>
        <m:r>
          <m:rPr>
            <m:sty m:val="p"/>
          </m:rPr>
          <m:t>(</m:t>
        </m:r>
        <m:acc>
          <m:accPr>
            <m:chr m:val="̂"/>
          </m:accPr>
          <m:e>
            <m:r>
              <m:t>F</m:t>
            </m:r>
          </m:e>
        </m:acc>
        <m:r>
          <m:rPr>
            <m:sty m:val="p"/>
          </m:rPr>
          <m:t>(</m:t>
        </m:r>
        <m:r>
          <m:t>t</m:t>
        </m:r>
        <m:r>
          <m:rPr>
            <m:sty m:val="p"/>
          </m:rPr>
          <m:t>)</m:t>
        </m:r>
        <m:r>
          <m:rPr>
            <m:sty m:val="p"/>
          </m:rPr>
          <m:t>)</m:t>
        </m:r>
        <m:r>
          <m:rPr>
            <m:sty m:val="p"/>
          </m:rPr>
          <m:t>≤</m:t>
        </m:r>
        <m:r>
          <m:t>t</m:t>
        </m:r>
      </m:oMath>
      <w:r>
        <w:t xml:space="preserve"> </w:t>
      </w:r>
      <w:r>
        <w:t xml:space="preserve">for every</w:t>
      </w:r>
      <w:r>
        <w:t xml:space="preserve"> </w:t>
      </w:r>
      <m:oMath>
        <m:r>
          <m:t>t</m:t>
        </m:r>
        <m:r>
          <m:rPr>
            <m:sty m:val="p"/>
          </m:rPr>
          <m:t>≥</m:t>
        </m:r>
        <m:sSub>
          <m:e>
            <m:r>
              <m:t>x</m:t>
            </m:r>
          </m:e>
          <m:sub>
            <m:r>
              <m:rPr>
                <m:sty m:val="p"/>
              </m:rPr>
              <m:t>(</m:t>
            </m:r>
            <m:r>
              <m:t>1</m:t>
            </m:r>
            <m:r>
              <m:rPr>
                <m:sty m:val="p"/>
              </m:rPr>
              <m:t>)</m:t>
            </m:r>
          </m:sub>
        </m:sSub>
      </m:oMath>
      <w:r>
        <w:t xml:space="preserve">,</w:t>
      </w:r>
      <w:r>
        <w:t xml:space="preserve"> </w:t>
      </w:r>
      <w:r>
        <w:t xml:space="preserve">with equality only at the observed values.</w:t>
      </w:r>
    </w:p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hd w:val="clear" w:fill="f1f3f5"/>
    </w:pPr>
  </w:style>
  <w:style w:type="character" w:customStyle="1" w:styleId="KeywordTok">
    <w:name w:val="KeywordTok"/>
    <w:basedOn w:val="VerbatimChar"/>
    <w:rPr>
      <w:b/>
      <w:color w:val="003b4f"/>
      <w:shd w:val="clear" w:fill="f1f3f5"/>
    </w:rPr>
  </w:style>
  <w:style w:type="character" w:customStyle="1" w:styleId="DataTypeTok">
    <w:name w:val="DataTypeTok"/>
    <w:basedOn w:val="VerbatimChar"/>
    <w:rPr>
      <w:color w:val="ad0000"/>
      <w:shd w:val="clear" w:fill="f1f3f5"/>
    </w:rPr>
  </w:style>
  <w:style w:type="character" w:customStyle="1" w:styleId="DecValTok">
    <w:name w:val="DecValTok"/>
    <w:basedOn w:val="VerbatimChar"/>
    <w:rPr>
      <w:color w:val="ad0000"/>
      <w:shd w:val="clear" w:fill="f1f3f5"/>
    </w:rPr>
  </w:style>
  <w:style w:type="character" w:customStyle="1" w:styleId="BaseNTok">
    <w:name w:val="BaseNTok"/>
    <w:basedOn w:val="VerbatimChar"/>
    <w:rPr>
      <w:color w:val="ad0000"/>
      <w:shd w:val="clear" w:fill="f1f3f5"/>
    </w:rPr>
  </w:style>
  <w:style w:type="character" w:customStyle="1" w:styleId="FloatTok">
    <w:name w:val="FloatTok"/>
    <w:basedOn w:val="VerbatimChar"/>
    <w:rPr>
      <w:color w:val="ad0000"/>
      <w:shd w:val="clear" w:fill="f1f3f5"/>
    </w:rPr>
  </w:style>
  <w:style w:type="character" w:customStyle="1" w:styleId="ConstantTok">
    <w:name w:val="ConstantTok"/>
    <w:basedOn w:val="VerbatimChar"/>
    <w:rPr>
      <w:color w:val="8f5902"/>
      <w:shd w:val="clear" w:fill="f1f3f5"/>
    </w:rPr>
  </w:style>
  <w:style w:type="character" w:customStyle="1" w:styleId="CharTok">
    <w:name w:val="CharTok"/>
    <w:basedOn w:val="VerbatimChar"/>
    <w:rPr>
      <w:color w:val="20794d"/>
      <w:shd w:val="clear" w:fill="f1f3f5"/>
    </w:rPr>
  </w:style>
  <w:style w:type="character" w:customStyle="1" w:styleId="SpecialCharTok">
    <w:name w:val="SpecialCharTok"/>
    <w:basedOn w:val="VerbatimChar"/>
    <w:rPr>
      <w:color w:val="5e5e5e"/>
      <w:shd w:val="clear" w:fill="f1f3f5"/>
    </w:rPr>
  </w:style>
  <w:style w:type="character" w:customStyle="1" w:styleId="StringTok">
    <w:name w:val="StringTok"/>
    <w:basedOn w:val="VerbatimChar"/>
    <w:rPr>
      <w:color w:val="20794d"/>
      <w:shd w:val="clear" w:fill="f1f3f5"/>
    </w:rPr>
  </w:style>
  <w:style w:type="character" w:customStyle="1" w:styleId="VerbatimStringTok">
    <w:name w:val="VerbatimStringTok"/>
    <w:basedOn w:val="VerbatimChar"/>
    <w:rPr>
      <w:color w:val="20794d"/>
      <w:shd w:val="clear" w:fill="f1f3f5"/>
    </w:rPr>
  </w:style>
  <w:style w:type="character" w:customStyle="1" w:styleId="SpecialStringTok">
    <w:name w:val="SpecialStringTok"/>
    <w:basedOn w:val="VerbatimChar"/>
    <w:rPr>
      <w:color w:val="20794d"/>
      <w:shd w:val="clear" w:fill="f1f3f5"/>
    </w:rPr>
  </w:style>
  <w:style w:type="character" w:customStyle="1" w:styleId="ImportTok">
    <w:name w:val="ImportTok"/>
    <w:basedOn w:val="VerbatimChar"/>
    <w:rPr>
      <w:color w:val="00769e"/>
      <w:shd w:val="clear" w:fill="f1f3f5"/>
    </w:rPr>
  </w:style>
  <w:style w:type="character" w:customStyle="1" w:styleId="CommentTok">
    <w:name w:val="CommentTok"/>
    <w:basedOn w:val="VerbatimChar"/>
    <w:rPr>
      <w:color w:val="5e5e5e"/>
      <w:shd w:val="clear" w:fill="f1f3f5"/>
    </w:rPr>
  </w:style>
  <w:style w:type="character" w:customStyle="1" w:styleId="DocumentationTok">
    <w:name w:val="DocumentationTok"/>
    <w:basedOn w:val="VerbatimChar"/>
    <w:rPr>
      <w:i/>
      <w:color w:val="5e5e5e"/>
      <w:shd w:val="clear" w:fill="f1f3f5"/>
    </w:rPr>
  </w:style>
  <w:style w:type="character" w:customStyle="1" w:styleId="AnnotationTok">
    <w:name w:val="AnnotationTok"/>
    <w:basedOn w:val="VerbatimChar"/>
    <w:rPr>
      <w:color w:val="5e5e5e"/>
      <w:shd w:val="clear" w:fill="f1f3f5"/>
    </w:rPr>
  </w:style>
  <w:style w:type="character" w:customStyle="1" w:styleId="CommentVarTok">
    <w:name w:val="CommentVarTok"/>
    <w:basedOn w:val="VerbatimChar"/>
    <w:rPr>
      <w:i/>
      <w:color w:val="5e5e5e"/>
      <w:shd w:val="clear" w:fill="f1f3f5"/>
    </w:rPr>
  </w:style>
  <w:style w:type="character" w:customStyle="1" w:styleId="OtherTok">
    <w:name w:val="OtherTok"/>
    <w:basedOn w:val="VerbatimChar"/>
    <w:rPr>
      <w:color w:val="003b4f"/>
      <w:shd w:val="clear" w:fill="f1f3f5"/>
    </w:rPr>
  </w:style>
  <w:style w:type="character" w:customStyle="1" w:styleId="FunctionTok">
    <w:name w:val="FunctionTok"/>
    <w:basedOn w:val="VerbatimChar"/>
    <w:rPr>
      <w:color w:val="4758ab"/>
      <w:shd w:val="clear" w:fill="f1f3f5"/>
    </w:rPr>
  </w:style>
  <w:style w:type="character" w:customStyle="1" w:styleId="VariableTok">
    <w:name w:val="VariableTok"/>
    <w:basedOn w:val="VerbatimChar"/>
    <w:rPr>
      <w:color w:val="111111"/>
      <w:shd w:val="clear" w:fill="f1f3f5"/>
    </w:rPr>
  </w:style>
  <w:style w:type="character" w:customStyle="1" w:styleId="ControlFlowTok">
    <w:name w:val="ControlFlowTok"/>
    <w:basedOn w:val="VerbatimChar"/>
    <w:rPr>
      <w:b/>
      <w:color w:val="003b4f"/>
      <w:shd w:val="clear" w:fill="f1f3f5"/>
    </w:rPr>
  </w:style>
  <w:style w:type="character" w:customStyle="1" w:styleId="OperatorTok">
    <w:name w:val="OperatorTok"/>
    <w:basedOn w:val="VerbatimChar"/>
    <w:rPr>
      <w:color w:val="5e5e5e"/>
      <w:shd w:val="clear" w:fill="f1f3f5"/>
    </w:rPr>
  </w:style>
  <w:style w:type="character" w:customStyle="1" w:styleId="BuiltInTok">
    <w:name w:val="BuiltInTok"/>
    <w:basedOn w:val="VerbatimChar"/>
    <w:rPr>
      <w:color w:val="003b4f"/>
      <w:shd w:val="clear" w:fill="f1f3f5"/>
    </w:rPr>
  </w:style>
  <w:style w:type="character" w:customStyle="1" w:styleId="ExtensionTok">
    <w:name w:val="ExtensionTok"/>
    <w:basedOn w:val="VerbatimChar"/>
    <w:rPr>
      <w:color w:val="003b4f"/>
      <w:shd w:val="clear" w:fill="f1f3f5"/>
    </w:rPr>
  </w:style>
  <w:style w:type="character" w:customStyle="1" w:styleId="PreprocessorTok">
    <w:name w:val="PreprocessorTok"/>
    <w:basedOn w:val="VerbatimChar"/>
    <w:rPr>
      <w:color w:val="ad0000"/>
      <w:shd w:val="clear" w:fill="f1f3f5"/>
    </w:rPr>
  </w:style>
  <w:style w:type="character" w:customStyle="1" w:styleId="AttributeTok">
    <w:name w:val="AttributeTok"/>
    <w:basedOn w:val="VerbatimChar"/>
    <w:rPr>
      <w:color w:val="657422"/>
      <w:shd w:val="clear" w:fill="f1f3f5"/>
    </w:rPr>
  </w:style>
  <w:style w:type="character" w:customStyle="1" w:styleId="RegionMarkerTok">
    <w:name w:val="RegionMarkerTok"/>
    <w:basedOn w:val="VerbatimChar"/>
    <w:rPr>
      <w:color w:val="003b4f"/>
      <w:shd w:val="clear" w:fill="f1f3f5"/>
    </w:rPr>
  </w:style>
  <w:style w:type="character" w:customStyle="1" w:styleId="InformationTok">
    <w:name w:val="InformationTok"/>
    <w:basedOn w:val="VerbatimChar"/>
    <w:rPr>
      <w:color w:val="5e5e5e"/>
      <w:shd w:val="clear" w:fill="f1f3f5"/>
    </w:rPr>
  </w:style>
  <w:style w:type="character" w:customStyle="1" w:styleId="WarningTok">
    <w:name w:val="WarningTok"/>
    <w:basedOn w:val="VerbatimChar"/>
    <w:rPr>
      <w:i/>
      <w:color w:val="5e5e5e"/>
      <w:shd w:val="clear" w:fill="f1f3f5"/>
    </w:rPr>
  </w:style>
  <w:style w:type="character" w:customStyle="1" w:styleId="AlertTok">
    <w:name w:val="AlertTok"/>
    <w:basedOn w:val="VerbatimChar"/>
    <w:rPr>
      <w:color w:val="ad0000"/>
      <w:shd w:val="clear" w:fill="f1f3f5"/>
    </w:rPr>
  </w:style>
  <w:style w:type="character" w:customStyle="1" w:styleId="ErrorTok">
    <w:name w:val="ErrorTok"/>
    <w:basedOn w:val="VerbatimChar"/>
    <w:rPr>
      <w:color w:val="ad0000"/>
      <w:shd w:val="clear" w:fill="f1f3f5"/>
    </w:rPr>
  </w:style>
  <w:style w:type="character" w:customStyle="1" w:styleId="NormalTok">
    <w:name w:val="NormalTok"/>
    <w:basedOn w:val="VerbatimChar"/>
    <w:rPr>
      <w:color w:val="003b4f"/>
      <w:shd w:val="clear" w:fill="f1f3f5"/>
    </w:rPr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26" Target="media/rId26.png" /><Relationship Type="http://schemas.openxmlformats.org/officeDocument/2006/relationships/hyperlink" Id="rId16" Target="https://morrison-lab.github.io/pds/random-variables.html#def-cdf" TargetMode="External" /><Relationship Type="http://schemas.openxmlformats.org/officeDocument/2006/relationships/hyperlink" Id="rId17" Target="https://morrison-lab.github.io/pds/random-variables.html#def-quantile-func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https://morrison-lab.github.io/pds/random-variables.html#def-cdf" TargetMode="External" /><Relationship Type="http://schemas.openxmlformats.org/officeDocument/2006/relationships/hyperlink" Id="rId17" Target="https://morrison-lab.github.io/pds/random-variables.html#def-quantile-func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Nonparametric Models</dc:title>
  <dc:creator/>
  <cp:keywords/>
  <dcterms:created xsi:type="dcterms:W3CDTF">2026-09-29T07:14:33Z</dcterms:created>
  <dcterms:modified xsi:type="dcterms:W3CDTF">2026-09-29T07:14:33Z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iblio-config">
    <vt:lpwstr>True</vt:lpwstr>
  </property>
  <property fmtid="{D5CDD505-2E9C-101B-9397-08002B2CF9AE}" pid="3" name="bibliography">
    <vt:lpwstr/>
  </property>
  <property fmtid="{D5CDD505-2E9C-101B-9397-08002B2CF9AE}" pid="4" name="callouty-theorem">
    <vt:lpwstr/>
  </property>
  <property fmtid="{D5CDD505-2E9C-101B-9397-08002B2CF9AE}" pid="5" name="custom-callout">
    <vt:lpwstr/>
  </property>
  <property fmtid="{D5CDD505-2E9C-101B-9397-08002B2CF9AE}" pid="6" name="date">
    <vt:lpwstr>Last modified: 2026-09-29 00:05:17 (PDT)</vt:lpwstr>
  </property>
  <property fmtid="{D5CDD505-2E9C-101B-9397-08002B2CF9AE}" pid="7" name="date-format">
    <vt:lpwstr>[Last modified:] YYYY-MM-DD HH:mm:ss (z)</vt:lpwstr>
  </property>
  <property fmtid="{D5CDD505-2E9C-101B-9397-08002B2CF9AE}" pid="8" name="editor">
    <vt:lpwstr/>
  </property>
  <property fmtid="{D5CDD505-2E9C-101B-9397-08002B2CF9AE}" pid="9" name="editor_options">
    <vt:lpwstr/>
  </property>
  <property fmtid="{D5CDD505-2E9C-101B-9397-08002B2CF9AE}" pid="10" name="header-includes">
    <vt:lpwstr/>
  </property>
  <property fmtid="{D5CDD505-2E9C-101B-9397-08002B2CF9AE}" pid="11" name="include-after">
    <vt:lpwstr/>
  </property>
  <property fmtid="{D5CDD505-2E9C-101B-9397-08002B2CF9AE}" pid="12" name="include-before">
    <vt:lpwstr/>
  </property>
  <property fmtid="{D5CDD505-2E9C-101B-9397-08002B2CF9AE}" pid="13" name="knitr">
    <vt:lpwstr/>
  </property>
  <property fmtid="{D5CDD505-2E9C-101B-9397-08002B2CF9AE}" pid="14" name="labels">
    <vt:lpwstr/>
  </property>
  <property fmtid="{D5CDD505-2E9C-101B-9397-08002B2CF9AE}" pid="15" name="number-depth">
    <vt:lpwstr>4</vt:lpwstr>
  </property>
  <property fmtid="{D5CDD505-2E9C-101B-9397-08002B2CF9AE}" pid="16" name="toc-title">
    <vt:lpwstr>Table of contents</vt:lpwstr>
  </property>
</Properties>
</file>