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7.png" ContentType="image/png"/>
  <Override PartName="/word/media/rId51.png" ContentType="image/png"/>
  <Override PartName="/word/media/rId57.png" ContentType="image/png"/>
  <Override PartName="/word/media/rId63.png" ContentType="image/png"/>
  <Override PartName="/word/media/rId70.png" ContentType="image/png"/>
  <Override PartName="/word/media/rId81.png" ContentType="image/png"/>
  <Override PartName="/word/media/rId85.png" ContentType="image/png"/>
  <Override PartName="/word/media/rId96.png" ContentType="image/png"/>
  <Override PartName="/word/media/rId100.png" ContentType="image/png"/>
  <Override PartName="/word/media/rId39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Exploratory Data Analysis</w:t>
      </w:r>
    </w:p>
    <w:p>
      <w:pPr>
        <w:pStyle w:val="Date"/>
      </w:pPr>
      <w:r>
        <w:t xml:space="preserve">Last modified: 2026-09-29 00:05:17 (PDT)</w:t>
      </w:r>
    </w:p>
    <w:bookmarkStart w:id="15" w:name="introduction"/>
    <w:p>
      <w:pPr>
        <w:pStyle w:val="Heading2"/>
      </w:pPr>
      <w:r>
        <w:t xml:space="preserve">1 Introduction</w:t>
      </w:r>
    </w:p>
    <w:p>
      <w:pPr>
        <w:pStyle w:val="FirstParagraph"/>
      </w:pPr>
      <w:r>
        <w:t xml:space="preserve">Before fitting a model,</w:t>
      </w:r>
      <w:r>
        <w:t xml:space="preserve"> </w:t>
      </w:r>
      <w:r>
        <w:t xml:space="preserve">it is good practice to explore and summarize the data.</w:t>
      </w:r>
      <w:r>
        <w:t xml:space="preserve"> </w:t>
      </w:r>
      <w:r>
        <w:t xml:space="preserve">Exploratory data analysis (EDA) serves several purposes:</w:t>
      </w:r>
    </w:p>
    <w:p>
      <w:pPr>
        <w:pStyle w:val="Compact"/>
        <w:numPr>
          <w:ilvl w:val="0"/>
          <w:numId w:val="1001"/>
        </w:numPr>
      </w:pPr>
      <w:r>
        <w:t xml:space="preserve">understanding the distribution of each variable individually;</w:t>
      </w:r>
    </w:p>
    <w:p>
      <w:pPr>
        <w:pStyle w:val="Compact"/>
        <w:numPr>
          <w:ilvl w:val="0"/>
          <w:numId w:val="1001"/>
        </w:numPr>
      </w:pPr>
      <w:r>
        <w:t xml:space="preserve">detecting unusual values, outliers, and missing data;</w:t>
      </w:r>
    </w:p>
    <w:p>
      <w:pPr>
        <w:pStyle w:val="Compact"/>
        <w:numPr>
          <w:ilvl w:val="0"/>
          <w:numId w:val="1001"/>
        </w:numPr>
      </w:pPr>
      <w:r>
        <w:t xml:space="preserve">identifying patterns and relationships among variables;</w:t>
      </w:r>
    </w:p>
    <w:p>
      <w:pPr>
        <w:pStyle w:val="Compact"/>
        <w:numPr>
          <w:ilvl w:val="0"/>
          <w:numId w:val="1001"/>
        </w:numPr>
      </w:pPr>
      <w:r>
        <w:t xml:space="preserve">motivating choices of model structure, such as transformations;</w:t>
      </w:r>
    </w:p>
    <w:p>
      <w:pPr>
        <w:pStyle w:val="Compact"/>
        <w:numPr>
          <w:ilvl w:val="0"/>
          <w:numId w:val="1001"/>
        </w:numPr>
      </w:pPr>
      <w:r>
        <w:t xml:space="preserve">providing context for interpreting model results.</w:t>
      </w:r>
    </w:p>
    <w:p>
      <w:pPr>
        <w:pStyle w:val="FirstParagraph"/>
      </w:pPr>
      <w:r>
        <w:t xml:space="preserve">This page is adapted from</w:t>
      </w:r>
      <w:r>
        <w:t xml:space="preserve"> </w:t>
      </w:r>
      <w:r>
        <w:t xml:space="preserve">(Vittinghoff et al. 2012, chap. 2)</w:t>
      </w:r>
      <w:r>
        <w:t xml:space="preserve">.</w:t>
      </w:r>
    </w:p>
    <w:bookmarkStart w:id="12" w:name="sec-wcgs-data"/>
    <w:p>
      <w:pPr>
        <w:pStyle w:val="Heading3"/>
      </w:pPr>
      <w:r>
        <w:t xml:space="preserve">1.1 The WCGS data</w:t>
      </w:r>
    </w:p>
    <w:p>
      <w:pPr>
        <w:pStyle w:val="FirstParagraph"/>
      </w:pPr>
      <w:r>
        <w:t xml:space="preserve">This page illustrates exploratory data analysis</w:t>
      </w:r>
      <w:r>
        <w:t xml:space="preserve"> </w:t>
      </w:r>
      <w:r>
        <w:t xml:space="preserve">using data from the Western Collaborative Group Study (WCGS)</w:t>
      </w:r>
      <w:r>
        <w:t xml:space="preserve"> </w:t>
      </w:r>
      <w:r>
        <w:t xml:space="preserve">(Rosenman et al. 1975)</w:t>
      </w:r>
      <w:r>
        <w:t xml:space="preserve">.</w:t>
      </w:r>
      <w:r>
        <w:t xml:space="preserve"> </w:t>
      </w:r>
      <w:r>
        <w:t xml:space="preserve">Vittinghoff et al. (2012, 9)</w:t>
      </w:r>
      <w:r>
        <w:t xml:space="preserve"> </w:t>
      </w:r>
      <w:r>
        <w:t xml:space="preserve">describe the study this way:</w:t>
      </w:r>
    </w:p>
    <w:p>
      <w:pPr>
        <w:pStyle w:val="BlockText"/>
      </w:pPr>
      <w:r>
        <w:t xml:space="preserve">The Western Collaborative Group Study (WCGS) was a large</w:t>
      </w:r>
      <w:r>
        <w:t xml:space="preserve"> </w:t>
      </w:r>
      <w:r>
        <w:t xml:space="preserve">epidemiological study designed to investigate the association between</w:t>
      </w:r>
      <w:r>
        <w:t xml:space="preserve"> </w:t>
      </w:r>
      <w:r>
        <w:t xml:space="preserve">the</w:t>
      </w:r>
      <w:r>
        <w:t xml:space="preserve"> </w:t>
      </w:r>
      <w:r>
        <w:t xml:space="preserve">“type A”</w:t>
      </w:r>
      <w:r>
        <w:t xml:space="preserve"> </w:t>
      </w:r>
      <w:r>
        <w:t xml:space="preserve">behavior pattern and coronary heart disease (CHD).</w:t>
      </w:r>
    </w:p>
    <w:bookmarkStart w:id="9" w:name="exr-def-type-A"/>
    <w:p>
      <w:pPr>
        <w:pStyle w:val="FirstParagraph"/>
      </w:pPr>
      <w:r>
        <w:rPr>
          <w:b/>
          <w:bCs/>
        </w:rPr>
        <w:t xml:space="preserve">Exercise 1 (Type A behavior)</w:t>
      </w:r>
      <w:r>
        <w:t xml:space="preserve"> </w:t>
      </w:r>
      <w:r>
        <w:t xml:space="preserve">What is</w:t>
      </w:r>
      <w:r>
        <w:t xml:space="preserve"> </w:t>
      </w:r>
      <w:r>
        <w:t xml:space="preserve">“type A”</w:t>
      </w:r>
      <w:r>
        <w:t xml:space="preserve"> </w:t>
      </w:r>
      <w:r>
        <w:t xml:space="preserve">behavior?</w:t>
      </w:r>
    </w:p>
    <w:bookmarkEnd w:id="9"/>
    <w:bookmarkStart w:id="11" w:name="sol-def-type-A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w:r>
        <w:t xml:space="preserve">From Wikipedia’s article</w:t>
      </w:r>
      <w:r>
        <w:t xml:space="preserve"> </w:t>
      </w:r>
      <w:hyperlink r:id="rId10">
        <w:r>
          <w:rPr>
            <w:rStyle w:val="Hyperlink"/>
          </w:rPr>
          <w:t xml:space="preserve">“Type A and Type B personality theory”</w:t>
        </w:r>
      </w:hyperlink>
      <w:r>
        <w:t xml:space="preserve">:</w:t>
      </w:r>
    </w:p>
    <w:p>
      <w:pPr>
        <w:pStyle w:val="BlockText"/>
      </w:pPr>
      <w:r>
        <w:t xml:space="preserve">The hypothesis describes Type A individuals as outgoing, ambitious,</w:t>
      </w:r>
      <w:r>
        <w:t xml:space="preserve"> </w:t>
      </w:r>
      <w:r>
        <w:t xml:space="preserve">rigidly organized, highly status-conscious, impatient, anxious,</w:t>
      </w:r>
      <w:r>
        <w:t xml:space="preserve"> </w:t>
      </w:r>
      <w:r>
        <w:t xml:space="preserve">proactive, and concerned with time management….</w:t>
      </w:r>
    </w:p>
    <w:p>
      <w:pPr>
        <w:pStyle w:val="BlockText"/>
      </w:pPr>
      <w:r>
        <w:t xml:space="preserve">The hypothesis describes Type B individuals as a contrast to those of</w:t>
      </w:r>
      <w:r>
        <w:t xml:space="preserve"> </w:t>
      </w:r>
      <w:r>
        <w:t xml:space="preserve">Type A. Type B personalities, by definition, are noted to live at lower</w:t>
      </w:r>
      <w:r>
        <w:t xml:space="preserve"> </w:t>
      </w:r>
      <w:r>
        <w:t xml:space="preserve">stress levels. They typically work steadily and may enjoy achievement,</w:t>
      </w:r>
      <w:r>
        <w:t xml:space="preserve"> </w:t>
      </w:r>
      <w:r>
        <w:t xml:space="preserve">although they have a greater tendency to disregard physical or mental</w:t>
      </w:r>
      <w:r>
        <w:t xml:space="preserve"> </w:t>
      </w:r>
      <w:r>
        <w:t xml:space="preserve">stress when they do not achieve.</w:t>
      </w:r>
    </w:p>
    <w:bookmarkEnd w:id="11"/>
    <w:bookmarkEnd w:id="12"/>
    <w:bookmarkStart w:id="13" w:name="study-design"/>
    <w:p>
      <w:pPr>
        <w:pStyle w:val="Heading3"/>
      </w:pPr>
      <w:r>
        <w:t xml:space="preserve">1.2 Study design</w:t>
      </w:r>
    </w:p>
    <w:p>
      <w:pPr>
        <w:pStyle w:val="FirstParagraph"/>
      </w:pPr>
      <w:r>
        <w:t xml:space="preserve">The WCGS began in 1960 with 3,524 male volunteers</w:t>
      </w:r>
      <w:r>
        <w:t xml:space="preserve"> </w:t>
      </w:r>
      <w:r>
        <w:t xml:space="preserve">employed by 11 California companies.</w:t>
      </w:r>
      <w:r>
        <w:t xml:space="preserve"> </w:t>
      </w:r>
      <w:r>
        <w:t xml:space="preserve">Participants were 39 to 59 years old</w:t>
      </w:r>
      <w:r>
        <w:t xml:space="preserve"> </w:t>
      </w:r>
      <w:r>
        <w:t xml:space="preserve">and free of heart disease, as determined by electrocardiogram.</w:t>
      </w:r>
      <w:r>
        <w:t xml:space="preserve"> </w:t>
      </w:r>
      <w:r>
        <w:t xml:space="preserve">After the initial screening,</w:t>
      </w:r>
      <w:r>
        <w:t xml:space="preserve"> </w:t>
      </w:r>
      <w:r>
        <w:t xml:space="preserve">various exclusions reduced the study population to 3,154 men</w:t>
      </w:r>
      <w:r>
        <w:t xml:space="preserve"> </w:t>
      </w:r>
      <w:r>
        <w:t xml:space="preserve">and the number of companies to 10.</w:t>
      </w:r>
      <w:r>
        <w:t xml:space="preserve"> </w:t>
      </w:r>
      <w:r>
        <w:t xml:space="preserve">The cohort comprised both blue- and white-collar employees.</w:t>
      </w:r>
      <w:r>
        <w:t xml:space="preserve"> </w:t>
      </w:r>
      <w:r>
        <w:t xml:space="preserve">Average follow-up was 8.5 years, with repeat examinations.</w:t>
      </w:r>
    </w:p>
    <w:p>
      <w:pPr>
        <w:pStyle w:val="BodyText"/>
      </w:pPr>
      <w:r>
        <w:t xml:space="preserve">This description paraphrases the help page for the</w:t>
      </w:r>
      <w:r>
        <w:t xml:space="preserve"> </w:t>
      </w:r>
      <w:r>
        <w:rPr>
          <w:rStyle w:val="VerbatimChar"/>
        </w:rPr>
        <w:t xml:space="preserve">wcgs</w:t>
      </w:r>
      <w:r>
        <w:t xml:space="preserve"> </w:t>
      </w:r>
      <w:r>
        <w:t xml:space="preserve">dataset</w:t>
      </w:r>
      <w:r>
        <w:t xml:space="preserve"> </w:t>
      </w:r>
      <w:r>
        <w:t xml:space="preserve">in the</w:t>
      </w:r>
      <w:r>
        <w:t xml:space="preserve"> </w:t>
      </w:r>
      <w:r>
        <w:rPr>
          <w:rStyle w:val="VerbatimChar"/>
        </w:rPr>
        <w:t xml:space="preserve">faraway</w:t>
      </w:r>
      <w:r>
        <w:t xml:space="preserve"> </w:t>
      </w:r>
      <w:r>
        <w:t xml:space="preserve">R package.</w:t>
      </w:r>
    </w:p>
    <w:p>
      <w:pPr>
        <w:pStyle w:val="BodyText"/>
      </w:pPr>
      <w:r>
        <w:t xml:space="preserve">At baseline, the study collected:</w:t>
      </w:r>
    </w:p>
    <w:p>
      <w:pPr>
        <w:pStyle w:val="Compact"/>
        <w:numPr>
          <w:ilvl w:val="0"/>
          <w:numId w:val="1002"/>
        </w:numPr>
      </w:pPr>
      <w:r>
        <w:t xml:space="preserve">socio-demographic characteristics:</w:t>
      </w:r>
      <w:r>
        <w:t xml:space="preserve"> </w:t>
      </w:r>
      <w:r>
        <w:t xml:space="preserve">age, education, marital status, income, and occupation;</w:t>
      </w:r>
    </w:p>
    <w:p>
      <w:pPr>
        <w:pStyle w:val="Compact"/>
        <w:numPr>
          <w:ilvl w:val="0"/>
          <w:numId w:val="1002"/>
        </w:numPr>
      </w:pPr>
      <w:r>
        <w:t xml:space="preserve">physical and physiological measurements:</w:t>
      </w:r>
      <w:r>
        <w:t xml:space="preserve"> </w:t>
      </w:r>
      <w:r>
        <w:t xml:space="preserve">height, weight, blood pressure, electrocardiogram, and corneal arcus;</w:t>
      </w:r>
    </w:p>
    <w:p>
      <w:pPr>
        <w:pStyle w:val="Compact"/>
        <w:numPr>
          <w:ilvl w:val="0"/>
          <w:numId w:val="1002"/>
        </w:numPr>
      </w:pPr>
      <w:r>
        <w:t xml:space="preserve">biochemical measurements:</w:t>
      </w:r>
      <w:r>
        <w:t xml:space="preserve"> </w:t>
      </w:r>
      <w:r>
        <w:t xml:space="preserve">cholesterol and lipoprotein fractions;</w:t>
      </w:r>
    </w:p>
    <w:p>
      <w:pPr>
        <w:pStyle w:val="Compact"/>
        <w:numPr>
          <w:ilvl w:val="0"/>
          <w:numId w:val="1002"/>
        </w:numPr>
      </w:pPr>
      <w:r>
        <w:t xml:space="preserve">medical and family history, and use of medications;</w:t>
      </w:r>
    </w:p>
    <w:p>
      <w:pPr>
        <w:pStyle w:val="Compact"/>
        <w:numPr>
          <w:ilvl w:val="0"/>
          <w:numId w:val="1002"/>
        </w:numPr>
      </w:pPr>
      <w:r>
        <w:t xml:space="preserve">behavioral data:</w:t>
      </w:r>
      <w:r>
        <w:t xml:space="preserve"> </w:t>
      </w:r>
      <w:r>
        <w:t xml:space="preserve">the Type A interview, smoking, exercise, and alcohol use.</w:t>
      </w:r>
    </w:p>
    <w:p>
      <w:pPr>
        <w:pStyle w:val="FirstParagraph"/>
      </w:pPr>
      <w:r>
        <w:t xml:space="preserve">Later surveys added anthropometry, triglycerides,</w:t>
      </w:r>
      <w:r>
        <w:t xml:space="preserve"> </w:t>
      </w:r>
      <w:r>
        <w:t xml:space="preserve">the Jenkins Activity Survey, and caffeine use.</w:t>
      </w:r>
    </w:p>
    <w:bookmarkEnd w:id="13"/>
    <w:bookmarkStart w:id="14" w:name="sec-load-wcgs"/>
    <w:p>
      <w:pPr>
        <w:pStyle w:val="Heading3"/>
      </w:pPr>
      <w:r>
        <w:t xml:space="preserve">1.3 Loading the data</w:t>
      </w:r>
    </w:p>
    <w:p>
      <w:pPr>
        <w:pStyle w:val="FirstParagraph"/>
      </w:pPr>
      <w:r>
        <w:t xml:space="preserve">The WCGS data are distributed with</w:t>
      </w:r>
      <w:r>
        <w:t xml:space="preserve"> </w:t>
      </w:r>
      <w:r>
        <w:t xml:space="preserve">Vittinghoff et al. (2012)</w:t>
      </w:r>
      <w:r>
        <w:t xml:space="preserve"> </w:t>
      </w:r>
      <w:r>
        <w:t xml:space="preserve">on the book’s companion website,</w:t>
      </w:r>
      <w:r>
        <w:t xml:space="preserve"> </w:t>
      </w:r>
      <w:r>
        <w:t xml:space="preserve">as a Stata file that R can read directly:</w:t>
      </w:r>
    </w:p>
    <w:p>
      <w:pPr>
        <w:pStyle w:val="SourceCode"/>
      </w:pPr>
      <w:r>
        <w:rPr>
          <w:rStyle w:val="CommentTok"/>
        </w:rPr>
        <w:t xml:space="preserve"># one unbroken string, so that link checkers test the whole URL:</w:t>
      </w:r>
      <w:r>
        <w:br/>
      </w:r>
      <w:r>
        <w:rPr>
          <w:rStyle w:val="NormalTok"/>
        </w:rPr>
        <w:t xml:space="preserve">url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"https://regression.ucsf.edu/sites/g/files/tkssra16191/files/wysiwyg/home/data/wcgs.dta"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 nolint: line_length_linter.</w:t>
      </w:r>
      <w:r>
        <w:br/>
      </w:r>
      <w:r>
        <w:rPr>
          <w:rStyle w:val="NormalTok"/>
        </w:rPr>
        <w:t xml:space="preserve">wcgs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haven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read_dta</w:t>
      </w:r>
      <w:r>
        <w:rPr>
          <w:rStyle w:val="NormalTok"/>
        </w:rPr>
        <w:t xml:space="preserve">(url)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rmb</w:t>
      </w:r>
      <w:r>
        <w:t xml:space="preserve"> </w:t>
      </w:r>
      <w:r>
        <w:t xml:space="preserve">R package includes the same file,</w:t>
      </w:r>
      <w:r>
        <w:t xml:space="preserve"> </w:t>
      </w:r>
      <w:r>
        <w:t xml:space="preserve">which these notes use so that rendering does not depend on the website.</w:t>
      </w:r>
      <w:r>
        <w:t xml:space="preserve"> </w:t>
      </w:r>
      <w:r>
        <w:rPr>
          <w:rStyle w:val="VerbatimChar"/>
        </w:rPr>
        <w:t xml:space="preserve">haven::as_factor()</w:t>
      </w:r>
      <w:r>
        <w:t xml:space="preserve"> </w:t>
      </w:r>
      <w:r>
        <w:t xml:space="preserve">converts the Stata value labels to factors:</w:t>
      </w:r>
    </w:p>
    <w:p>
      <w:pPr>
        <w:pStyle w:val="SourceCode"/>
      </w:pPr>
      <w:r>
        <w:rPr>
          <w:rStyle w:val="NormalTok"/>
        </w:rPr>
        <w:t xml:space="preserve">wcgs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rmb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wcgs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haven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as_factor</w:t>
      </w:r>
      <w:r>
        <w:rPr>
          <w:rStyle w:val="NormalTok"/>
        </w:rPr>
        <w:t xml:space="preserve">()</w:t>
      </w:r>
    </w:p>
    <w:p>
      <w:pPr>
        <w:pStyle w:val="SourceCode"/>
      </w:pPr>
      <w:r>
        <w:rPr>
          <w:rStyle w:val="CommentTok"/>
        </w:rPr>
        <w:t xml:space="preserve"># attach a descriptive label to each variable;</w:t>
      </w:r>
      <w:r>
        <w:br/>
      </w:r>
      <w:r>
        <w:rPr>
          <w:rStyle w:val="CommentTok"/>
        </w:rPr>
        <w:t xml:space="preserve"># gtsummary tables print these labels instead of the column names:</w:t>
      </w:r>
      <w:r>
        <w:br/>
      </w:r>
      <w:r>
        <w:rPr>
          <w:rStyle w:val="NormalTok"/>
        </w:rPr>
        <w:t xml:space="preserve">wcgs_labels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age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"Age (years)"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chol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"Cholesterol (mg/dL)"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sbp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"Systolic BP (mmHg)"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dbp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"Diastolic BP (mmHg)"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bmi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"BMI (kg/m^2)"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weight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"Weight (lbs)"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ncigs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"Cigarettes per day"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chd69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"CHD event by 1969"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smoke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"Current smoker"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arcus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"Arcus senilis"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dibpat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"Behavioral pattern (A/B)"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behpat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"Behavioral pattern (A1/A2/B3/B4)"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wghtcat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"Weight category"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agec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"Age group"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(var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names</w:t>
      </w:r>
      <w:r>
        <w:rPr>
          <w:rStyle w:val="NormalTok"/>
        </w:rPr>
        <w:t xml:space="preserve">(wcgs_labels))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attr</w:t>
      </w:r>
      <w:r>
        <w:rPr>
          <w:rStyle w:val="NormalTok"/>
        </w:rPr>
        <w:t xml:space="preserve">(wcgs[[var]], </w:t>
      </w:r>
      <w:r>
        <w:rPr>
          <w:rStyle w:val="StringTok"/>
        </w:rPr>
        <w:t xml:space="preserve">"label"</w:t>
      </w:r>
      <w:r>
        <w:rPr>
          <w:rStyle w:val="NormalTok"/>
        </w:rPr>
        <w:t xml:space="preserve">)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wcgs_labels[[var]]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The dataset has one row per participant:</w:t>
      </w:r>
    </w:p>
    <w:p>
      <w:pPr>
        <w:pStyle w:val="SourceCode"/>
      </w:pPr>
      <w:r>
        <w:rPr>
          <w:rStyle w:val="NormalTok"/>
        </w:rPr>
        <w:t xml:space="preserve">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glimpse</w:t>
      </w:r>
      <w:r>
        <w:rPr>
          <w:rStyle w:val="NormalTok"/>
        </w:rPr>
        <w:t xml:space="preserve">(wcgs)</w:t>
      </w:r>
      <w:r>
        <w:br/>
      </w:r>
      <w:r>
        <w:rPr>
          <w:rStyle w:val="CommentTok"/>
        </w:rPr>
        <w:t xml:space="preserve">#&gt; Rows: 3,154</w:t>
      </w:r>
      <w:r>
        <w:br/>
      </w:r>
      <w:r>
        <w:rPr>
          <w:rStyle w:val="CommentTok"/>
        </w:rPr>
        <w:t xml:space="preserve">#&gt; Columns: 22</w:t>
      </w:r>
      <w:r>
        <w:br/>
      </w:r>
      <w:r>
        <w:rPr>
          <w:rStyle w:val="CommentTok"/>
        </w:rPr>
        <w:t xml:space="preserve">#&gt; $ age      &lt;dbl&gt; 50, 51, 59, 51, 44, 47, 40, 41, 50, 43, 59, 54, 48, 39, 49, 5…</w:t>
      </w:r>
      <w:r>
        <w:br/>
      </w:r>
      <w:r>
        <w:rPr>
          <w:rStyle w:val="CommentTok"/>
        </w:rPr>
        <w:t xml:space="preserve">#&gt; $ arcus    &lt;dbl&gt; 1, 0, 1, 1, 0, 0, 0, 0, 1, 0, 0, 0, 0, 0, 0, 1, 0, 0, 0, 0, 1…</w:t>
      </w:r>
      <w:r>
        <w:br/>
      </w:r>
      <w:r>
        <w:rPr>
          <w:rStyle w:val="CommentTok"/>
        </w:rPr>
        <w:t xml:space="preserve">#&gt; $ behpat   &lt;fct&gt; A1, A1, A1, A1, A1, A1, A1, A1, A1, A1, A1, A1, A1, A1, A1, A…</w:t>
      </w:r>
      <w:r>
        <w:br/>
      </w:r>
      <w:r>
        <w:rPr>
          <w:rStyle w:val="CommentTok"/>
        </w:rPr>
        <w:t xml:space="preserve">#&gt; $ bmi      &lt;dbl&gt; 31.3210, 25.3286, 28.6939, 22.1487, 22.3130, 27.1177, 23.2420…</w:t>
      </w:r>
      <w:r>
        <w:br/>
      </w:r>
      <w:r>
        <w:rPr>
          <w:rStyle w:val="CommentTok"/>
        </w:rPr>
        <w:t xml:space="preserve">#&gt; $ chd69    &lt;fct&gt; No, No, No, No, No, No, No, No, No, No, No, No, No, Yes, No, …</w:t>
      </w:r>
      <w:r>
        <w:br/>
      </w:r>
      <w:r>
        <w:rPr>
          <w:rStyle w:val="CommentTok"/>
        </w:rPr>
        <w:t xml:space="preserve">#&gt; $ chol     &lt;dbl&gt; 249, 194, 258, 173, 214, 206, 190, 212, 130, 233, 181, 214, 2…</w:t>
      </w:r>
      <w:r>
        <w:br/>
      </w:r>
      <w:r>
        <w:rPr>
          <w:rStyle w:val="CommentTok"/>
        </w:rPr>
        <w:t xml:space="preserve">#&gt; $ dbp      &lt;dbl&gt; 90, 74, 94, 80, 80, 76, 78, 84, 70, 80, 86, 76, 78, 74, 80, 7…</w:t>
      </w:r>
      <w:r>
        <w:br/>
      </w:r>
      <w:r>
        <w:rPr>
          <w:rStyle w:val="CommentTok"/>
        </w:rPr>
        <w:t xml:space="preserve">#&gt; $ dibpat   &lt;fct&gt; Type A, Type A, Type A, Type A, Type A, Type A, Type A, Type …</w:t>
      </w:r>
      <w:r>
        <w:br/>
      </w:r>
      <w:r>
        <w:rPr>
          <w:rStyle w:val="CommentTok"/>
        </w:rPr>
        <w:t xml:space="preserve">#&gt; $ height   &lt;dbl&gt; 67, 73, 70, 69, 71, 64, 70, 70, 71, 68, 72, 67, 71, 70, 73, 7…</w:t>
      </w:r>
      <w:r>
        <w:br/>
      </w:r>
      <w:r>
        <w:rPr>
          <w:rStyle w:val="CommentTok"/>
        </w:rPr>
        <w:t xml:space="preserve">#&gt; $ id       &lt;dbl&gt; 2343, 3656, 3526, 22057, 12927, 16029, 3894, 11389, 12681, 10…</w:t>
      </w:r>
      <w:r>
        <w:br/>
      </w:r>
      <w:r>
        <w:rPr>
          <w:rStyle w:val="CommentTok"/>
        </w:rPr>
        <w:t xml:space="preserve">#&gt; $ lnsbp    &lt;dbl&gt; 4.88280, 4.78749, 5.06259, 4.83628, 4.83628, 4.75359, 4.80402…</w:t>
      </w:r>
      <w:r>
        <w:br/>
      </w:r>
      <w:r>
        <w:rPr>
          <w:rStyle w:val="CommentTok"/>
        </w:rPr>
        <w:t xml:space="preserve">#&gt; $ lnwght   &lt;dbl&gt; 5.29832, 5.25750, 5.29832, 5.01064, 5.07517, 5.06259, 5.08760…</w:t>
      </w:r>
      <w:r>
        <w:br/>
      </w:r>
      <w:r>
        <w:rPr>
          <w:rStyle w:val="CommentTok"/>
        </w:rPr>
        <w:t xml:space="preserve">#&gt; $ ncigs    &lt;dbl&gt; 25, 25, 0, 0, 0, 80, 0, 25, 0, 25, 10, 0, 20, 0, 4, 0, 0, 20,…</w:t>
      </w:r>
      <w:r>
        <w:br/>
      </w:r>
      <w:r>
        <w:rPr>
          <w:rStyle w:val="CommentTok"/>
        </w:rPr>
        <w:t xml:space="preserve">#&gt; $ sbp      &lt;dbl&gt; 132, 120, 158, 126, 126, 116, 122, 130, 112, 120, 130, 118, 1…</w:t>
      </w:r>
      <w:r>
        <w:br/>
      </w:r>
      <w:r>
        <w:rPr>
          <w:rStyle w:val="CommentTok"/>
        </w:rPr>
        <w:t xml:space="preserve">#&gt; $ smoke    &lt;fct&gt; Yes, Yes, No, No, No, Yes, No, Yes, No, Yes, Yes, No, Yes, No…</w:t>
      </w:r>
      <w:r>
        <w:br/>
      </w:r>
      <w:r>
        <w:rPr>
          <w:rStyle w:val="CommentTok"/>
        </w:rPr>
        <w:t xml:space="preserve">#&gt; $ t1       &lt;dbl&gt; -1.633353, -4.063366, 0.639729, 1.121768, 2.425011, -0.787520…</w:t>
      </w:r>
      <w:r>
        <w:br/>
      </w:r>
      <w:r>
        <w:rPr>
          <w:rStyle w:val="CommentTok"/>
        </w:rPr>
        <w:t xml:space="preserve">#&gt; $ time169  &lt;dbl&gt; 1367, 2991, 2960, 3069, 3081, 2114, 2929, 3010, 3104, 2861, 2…</w:t>
      </w:r>
      <w:r>
        <w:br/>
      </w:r>
      <w:r>
        <w:rPr>
          <w:rStyle w:val="CommentTok"/>
        </w:rPr>
        <w:t xml:space="preserve">#&gt; $ typchd69 &lt;dbl&gt; 0, 0, 0, 0, 0, 0, 0, 0, 0, 0, 0, 0, 0, 1, 0, 0, 0, 0, 0, 0, 0…</w:t>
      </w:r>
      <w:r>
        <w:br/>
      </w:r>
      <w:r>
        <w:rPr>
          <w:rStyle w:val="CommentTok"/>
        </w:rPr>
        <w:t xml:space="preserve">#&gt; $ uni      &lt;dbl&gt; 0.4860738, 0.1859543, 0.7277991, 0.6244636, 0.3789776, 0.7355…</w:t>
      </w:r>
      <w:r>
        <w:br/>
      </w:r>
      <w:r>
        <w:rPr>
          <w:rStyle w:val="CommentTok"/>
        </w:rPr>
        <w:t xml:space="preserve">#&gt; $ weight   &lt;dbl&gt; 200, 192, 200, 150, 160, 158, 162, 160, 195, 187, 206, 152, 1…</w:t>
      </w:r>
      <w:r>
        <w:br/>
      </w:r>
      <w:r>
        <w:rPr>
          <w:rStyle w:val="CommentTok"/>
        </w:rPr>
        <w:t xml:space="preserve">#&gt; $ wghtcat  &lt;fct&gt; 170-200, 170-200, 170-200, 140-170, 140-170, 140-170, 140-170…</w:t>
      </w:r>
      <w:r>
        <w:br/>
      </w:r>
      <w:r>
        <w:rPr>
          <w:rStyle w:val="CommentTok"/>
        </w:rPr>
        <w:t xml:space="preserve">#&gt; $ agec     &lt;fct&gt; 46-50, 51-55, 56-60, 51-55, 41-45, 46-50, 35-40, 41-45, 46-50…</w:t>
      </w:r>
    </w:p>
    <w:bookmarkEnd w:id="14"/>
    <w:bookmarkEnd w:id="15"/>
    <w:bookmarkStart w:id="37" w:name="summarizing-a-single-variable"/>
    <w:p>
      <w:pPr>
        <w:pStyle w:val="Heading2"/>
      </w:pPr>
      <w:r>
        <w:t xml:space="preserve">2 Summarizing a single variable</w:t>
      </w:r>
    </w:p>
    <w:bookmarkStart w:id="21" w:name="measures-of-center"/>
    <w:p>
      <w:pPr>
        <w:pStyle w:val="Heading3"/>
      </w:pPr>
      <w:r>
        <w:t xml:space="preserve">2.1 Measures of center</w:t>
      </w:r>
    </w:p>
    <w:bookmarkStart w:id="16" w:name="def-sample-mean"/>
    <w:p>
      <w:pPr>
        <w:pStyle w:val="FirstParagraph"/>
      </w:pPr>
      <w:r>
        <w:rPr>
          <w:b/>
          <w:bCs/>
        </w:rPr>
        <w:t xml:space="preserve">Definition 1 (Sample mean)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sample mean</w:t>
      </w:r>
      <w:r>
        <w:t xml:space="preserve"> </w:t>
      </w:r>
      <w:r>
        <w:t xml:space="preserve">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observations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‾"/>
            </m:accPr>
            <m:e>
              <m:r>
                <m:t>x</m:t>
              </m:r>
            </m:e>
          </m:acc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e>
          </m:nary>
        </m:oMath>
      </m:oMathPara>
    </w:p>
    <w:bookmarkEnd w:id="16"/>
    <w:bookmarkStart w:id="17" w:name="exm-sample-mean"/>
    <w:p>
      <w:pPr>
        <w:pStyle w:val="FirstParagraph"/>
      </w:pPr>
      <w:r>
        <w:rPr>
          <w:b/>
          <w:bCs/>
        </w:rPr>
        <w:t xml:space="preserve">Example 1 (Mean cholesterol in the WCGS)</w:t>
      </w:r>
      <w:r>
        <w:t xml:space="preserve"> </w:t>
      </w:r>
      <w:r>
        <w:t xml:space="preserve">Total cholesterol (</w:t>
      </w:r>
      <w:r>
        <w:rPr>
          <w:rStyle w:val="VerbatimChar"/>
        </w:rPr>
        <w:t xml:space="preserve">chol</w:t>
      </w:r>
      <w:r>
        <w:t xml:space="preserve">) is missing for</w:t>
      </w:r>
      <w:r>
        <w:t xml:space="preserve"> </w:t>
      </w:r>
      <w:r>
        <w:t xml:space="preserve">12 of the 3154 WCGS participants.</w:t>
      </w:r>
      <w:r>
        <w:t xml:space="preserve"> </w:t>
      </w:r>
      <w:r>
        <w:t xml:space="preserve">The sample mean of the remaining</w:t>
      </w:r>
      <w:r>
        <w:t xml:space="preserve"> </w:t>
      </w:r>
      <w:r>
        <w:t xml:space="preserve">3142 values is:</w:t>
      </w:r>
    </w:p>
    <w:p>
      <w:pPr>
        <w:pStyle w:val="SourceCode"/>
      </w:pPr>
      <w:r>
        <w:rPr>
          <w:rStyle w:val="FunctionTok"/>
        </w:rPr>
        <w:t xml:space="preserve">mean</w:t>
      </w:r>
      <w:r>
        <w:rPr>
          <w:rStyle w:val="NormalTok"/>
        </w:rPr>
        <w:t xml:space="preserve">(wcgs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chol, </w:t>
      </w:r>
      <w:r>
        <w:rPr>
          <w:rStyle w:val="AttributeTok"/>
        </w:rPr>
        <w:t xml:space="preserve">na.rm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[1] 226.372</w:t>
      </w:r>
    </w:p>
    <w:bookmarkEnd w:id="17"/>
    <w:bookmarkStart w:id="19" w:name="def-sample-median"/>
    <w:p>
      <w:pPr>
        <w:pStyle w:val="FirstParagraph"/>
      </w:pPr>
      <w:r>
        <w:rPr>
          <w:b/>
          <w:bCs/>
        </w:rPr>
        <w:t xml:space="preserve">Definition 2 (Sample median)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sample median</w:t>
      </w:r>
      <w:r>
        <w:t xml:space="preserve"> </w:t>
      </w:r>
      <w:r>
        <w:t xml:space="preserve">is the middle value</w:t>
      </w:r>
      <w:r>
        <w:t xml:space="preserve"> </w:t>
      </w:r>
      <w:r>
        <w:t xml:space="preserve">when the observations are sorted in increasing order.</w:t>
      </w:r>
      <w:r>
        <w:t xml:space="preserve"> </w:t>
      </w:r>
      <w:r>
        <w:t xml:space="preserve">In terms of the</w:t>
      </w:r>
      <w:r>
        <w:t xml:space="preserve"> </w:t>
      </w:r>
      <w:hyperlink r:id="rId18">
        <w:r>
          <w:rPr>
            <w:rStyle w:val="Hyperlink"/>
          </w:rPr>
          <w:t xml:space="preserve">order statistics</w:t>
        </w:r>
      </w:hyperlink>
      <w:r>
        <w:t xml:space="preserve"> </w:t>
      </w:r>
      <m:oMath>
        <m:sSub>
          <m:e>
            <m:r>
              <m:t>x</m:t>
            </m:r>
          </m:e>
          <m:sub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</m:sub>
        </m:sSub>
        <m:r>
          <m:rPr>
            <m:sty m:val="p"/>
          </m:rPr>
          <m:t>≤</m:t>
        </m:r>
        <m:r>
          <m:rPr>
            <m:sty m:val="p"/>
          </m:rPr>
          <m:t>⋯</m:t>
        </m:r>
        <m:r>
          <m:rPr>
            <m:sty m:val="p"/>
          </m:rPr>
          <m:t>≤</m:t>
        </m:r>
        <m:sSub>
          <m:e>
            <m:r>
              <m:t>x</m:t>
            </m:r>
          </m:e>
          <m:sub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sub>
        </m:sSub>
      </m:oMath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odd, the median is</w:t>
      </w:r>
      <w:r>
        <w:t xml:space="preserve"> </w:t>
      </w:r>
      <m:oMath>
        <m:sSub>
          <m:e>
            <m:r>
              <m:t>x</m:t>
            </m:r>
          </m:e>
          <m:sub>
            <m:r>
              <m:rPr>
                <m:sty m:val="p"/>
              </m:rPr>
              <m:t>(</m:t>
            </m:r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/</m:t>
            </m:r>
            <m:r>
              <m:t>2</m:t>
            </m:r>
            <m:r>
              <m:rPr>
                <m:sty m:val="p"/>
              </m:rPr>
              <m:t>)</m:t>
            </m:r>
          </m:sub>
        </m:sSub>
      </m:oMath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even, the median is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rPr>
                    <m:sty m:val="p"/>
                  </m:rPr>
                  <m:t>(</m:t>
                </m:r>
                <m:r>
                  <m:t>n</m:t>
                </m:r>
                <m:r>
                  <m:rPr>
                    <m:sty m:val="p"/>
                  </m:rPr>
                  <m:t>/</m:t>
                </m:r>
                <m:r>
                  <m:t>2</m:t>
                </m:r>
                <m:r>
                  <m:rPr>
                    <m:sty m:val="p"/>
                  </m:rPr>
                  <m:t>)</m:t>
                </m:r>
              </m:sub>
            </m:sSub>
            <m:r>
              <m:rPr>
                <m:sty m:val="p"/>
              </m:rPr>
              <m:t>+</m:t>
            </m:r>
            <m:sSub>
              <m:e>
                <m:r>
                  <m:t>x</m:t>
                </m:r>
              </m:e>
              <m:sub>
                <m:r>
                  <m:rPr>
                    <m:sty m:val="p"/>
                  </m:rPr>
                  <m:t>(</m:t>
                </m:r>
                <m:r>
                  <m:t>n</m:t>
                </m:r>
                <m:r>
                  <m:rPr>
                    <m:sty m:val="p"/>
                  </m:rPr>
                  <m:t>/</m:t>
                </m:r>
                <m:r>
                  <m:t>2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  <m:r>
                  <m:rPr>
                    <m:sty m:val="p"/>
                  </m:rPr>
                  <m:t>)</m:t>
                </m:r>
              </m:sub>
            </m:sSub>
          </m:e>
        </m:d>
        <m:r>
          <m:t>​</m:t>
        </m:r>
      </m:oMath>
      <w:r>
        <w:t xml:space="preserve">.</w:t>
      </w:r>
    </w:p>
    <w:bookmarkEnd w:id="19"/>
    <w:bookmarkStart w:id="20" w:name="exm-sample-median"/>
    <w:p>
      <w:pPr>
        <w:pStyle w:val="FirstParagraph"/>
      </w:pPr>
      <w:r>
        <w:rPr>
          <w:b/>
          <w:bCs/>
        </w:rPr>
        <w:t xml:space="preserve">Example 2 (Median cholesterol in the WCGS)</w:t>
      </w:r>
      <w:r>
        <w:t xml:space="preserve"> </w:t>
      </w:r>
      <w:r>
        <w:t xml:space="preserve"> </w:t>
      </w:r>
    </w:p>
    <w:p>
      <w:pPr>
        <w:pStyle w:val="SourceCode"/>
      </w:pPr>
      <w:r>
        <w:rPr>
          <w:rStyle w:val="FunctionTok"/>
        </w:rPr>
        <w:t xml:space="preserve">median</w:t>
      </w:r>
      <w:r>
        <w:rPr>
          <w:rStyle w:val="NormalTok"/>
        </w:rPr>
        <w:t xml:space="preserve">(wcgs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chol, </w:t>
      </w:r>
      <w:r>
        <w:rPr>
          <w:rStyle w:val="AttributeTok"/>
        </w:rPr>
        <w:t xml:space="preserve">na.rm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[1] 223</w:t>
      </w:r>
    </w:p>
    <w:p>
      <w:pPr>
        <w:pStyle w:val="FirstParagraph"/>
      </w:pPr>
      <w:r>
        <w:t xml:space="preserve">The median cholesterol is a little lower than the mean</w:t>
      </w:r>
      <w:r>
        <w:t xml:space="preserve"> </w:t>
      </w:r>
      <w:r>
        <w:t xml:space="preserve">(</w:t>
      </w:r>
      <w:hyperlink w:anchor="exm-sample-mean">
        <w:r>
          <w:rPr>
            <w:rStyle w:val="Hyperlink"/>
          </w:rPr>
          <w:t xml:space="preserve">Example 1</w:t>
        </w:r>
      </w:hyperlink>
      <w:r>
        <w:t xml:space="preserve">).</w:t>
      </w:r>
      <w:r>
        <w:t xml:space="preserve"> </w:t>
      </w:r>
      <w:r>
        <w:t xml:space="preserve">Cholesterol has a longer right tail than left tail</w:t>
      </w:r>
      <w:r>
        <w:t xml:space="preserve"> </w:t>
      </w:r>
      <w:r>
        <w:t xml:space="preserve">(the maximum is 645 mg/dL),</w:t>
      </w:r>
      <w:r>
        <w:t xml:space="preserve"> </w:t>
      </w:r>
      <w:r>
        <w:t xml:space="preserve">and the large values in that tail pull the mean upward</w:t>
      </w:r>
      <w:r>
        <w:t xml:space="preserve"> </w:t>
      </w:r>
      <w:r>
        <w:t xml:space="preserve">but barely change which value is in the middle.</w:t>
      </w:r>
      <w:r>
        <w:t xml:space="preserve"> </w:t>
      </w:r>
      <w:r>
        <w:t xml:space="preserve">A median is less sensitive to extreme values than a mean.</w:t>
      </w:r>
    </w:p>
    <w:bookmarkEnd w:id="20"/>
    <w:bookmarkEnd w:id="21"/>
    <w:bookmarkStart w:id="30" w:name="measures-of-spread"/>
    <w:p>
      <w:pPr>
        <w:pStyle w:val="Heading3"/>
      </w:pPr>
      <w:r>
        <w:t xml:space="preserve">2.2 Measures of spread</w:t>
      </w:r>
    </w:p>
    <w:bookmarkStart w:id="22" w:name="def-sample-variance"/>
    <w:p>
      <w:pPr>
        <w:pStyle w:val="FirstParagraph"/>
      </w:pPr>
      <w:r>
        <w:rPr>
          <w:b/>
          <w:bCs/>
        </w:rPr>
        <w:t xml:space="preserve">Definition 3 (Sample variance)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sample variance</w:t>
      </w:r>
      <w:r>
        <w:t xml:space="preserve"> </w:t>
      </w:r>
      <w:r>
        <w:t xml:space="preserve">of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observations is: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s</m:t>
              </m:r>
            </m:e>
            <m:sup>
              <m:r>
                <m:t>2</m:t>
              </m:r>
            </m:sup>
          </m:sSup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>(</m:t>
              </m:r>
            </m:e>
          </m:nary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−</m:t>
          </m:r>
          <m:acc>
            <m:accPr>
              <m:chr m:val="‾"/>
            </m:accPr>
            <m:e>
              <m:r>
                <m:t>x</m:t>
              </m:r>
            </m:e>
          </m:acc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</m:oMath>
      </m:oMathPara>
    </w:p>
    <w:bookmarkEnd w:id="22"/>
    <w:bookmarkStart w:id="23" w:name="def-sample-sd"/>
    <w:p>
      <w:pPr>
        <w:pStyle w:val="FirstParagraph"/>
      </w:pPr>
      <w:r>
        <w:rPr>
          <w:b/>
          <w:bCs/>
        </w:rPr>
        <w:t xml:space="preserve">Definition 4 (Sample standard deviation)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sample standard deviation</w:t>
      </w:r>
      <w:r>
        <w:t xml:space="preserve"> </w:t>
      </w:r>
      <w:r>
        <w:t xml:space="preserve">is the square root of the</w:t>
      </w:r>
      <w:r>
        <w:t xml:space="preserve"> </w:t>
      </w:r>
      <w:hyperlink w:anchor="def-sample-variance">
        <w:r>
          <w:rPr>
            <w:rStyle w:val="Hyperlink"/>
          </w:rPr>
          <w:t xml:space="preserve">sample variance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s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ad>
            <m:radPr>
              <m:degHide m:val="on"/>
            </m:radPr>
            <m:deg/>
            <m:e>
              <m:sSup>
                <m:e>
                  <m:r>
                    <m:t>s</m:t>
                  </m:r>
                </m:e>
                <m:sup>
                  <m:r>
                    <m:t>2</m:t>
                  </m:r>
                </m:sup>
              </m:sSup>
            </m:e>
          </m:rad>
        </m:oMath>
      </m:oMathPara>
    </w:p>
    <w:bookmarkEnd w:id="23"/>
    <w:p>
      <w:pPr>
        <w:pStyle w:val="FirstParagraph"/>
      </w:pPr>
      <w:r>
        <w:t xml:space="preserve">The standard deviation has the same units as the observations,</w:t>
      </w:r>
      <w:r>
        <w:t xml:space="preserve"> </w:t>
      </w:r>
      <w:r>
        <w:t xml:space="preserve">which makes it easier to interpret than the variance,</w:t>
      </w:r>
      <w:r>
        <w:t xml:space="preserve"> </w:t>
      </w:r>
      <w:r>
        <w:t xml:space="preserve">whose units are squared.</w:t>
      </w:r>
    </w:p>
    <w:bookmarkStart w:id="24" w:name="exm-sample-sd"/>
    <w:p>
      <w:pPr>
        <w:pStyle w:val="BodyText"/>
      </w:pPr>
      <w:r>
        <w:rPr>
          <w:b/>
          <w:bCs/>
        </w:rPr>
        <w:t xml:space="preserve">Example 3 (Variance and standard deviation of cholesterol in the WCGS)</w:t>
      </w:r>
      <w:r>
        <w:t xml:space="preserve"> </w:t>
      </w:r>
      <w:r>
        <w:t xml:space="preserve"> </w:t>
      </w:r>
    </w:p>
    <w:p>
      <w:pPr>
        <w:pStyle w:val="SourceCode"/>
      </w:pPr>
      <w:r>
        <w:rPr>
          <w:rStyle w:val="FunctionTok"/>
        </w:rPr>
        <w:t xml:space="preserve">var</w:t>
      </w:r>
      <w:r>
        <w:rPr>
          <w:rStyle w:val="NormalTok"/>
        </w:rPr>
        <w:t xml:space="preserve">(wcgs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chol, </w:t>
      </w:r>
      <w:r>
        <w:rPr>
          <w:rStyle w:val="AttributeTok"/>
        </w:rPr>
        <w:t xml:space="preserve">na.rm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[1] 1885.33</w:t>
      </w:r>
      <w:r>
        <w:br/>
      </w:r>
      <w:r>
        <w:rPr>
          <w:rStyle w:val="FunctionTok"/>
        </w:rPr>
        <w:t xml:space="preserve">sd</w:t>
      </w:r>
      <w:r>
        <w:rPr>
          <w:rStyle w:val="NormalTok"/>
        </w:rPr>
        <w:t xml:space="preserve">(wcgs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chol, </w:t>
      </w:r>
      <w:r>
        <w:rPr>
          <w:rStyle w:val="AttributeTok"/>
        </w:rPr>
        <w:t xml:space="preserve">na.rm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[1] 43.4204</w:t>
      </w:r>
    </w:p>
    <w:p>
      <w:pPr>
        <w:pStyle w:val="FirstParagraph"/>
      </w:pPr>
      <w:r>
        <w:t xml:space="preserve">The sample variance is in (mg/dL)</w:t>
      </w:r>
      <w:r>
        <w:rPr>
          <w:vertAlign w:val="superscript"/>
        </w:rPr>
        <w:t xml:space="preserve">2</w:t>
      </w:r>
      <w:r>
        <w:t xml:space="preserve">,</w:t>
      </w:r>
      <w:r>
        <w:t xml:space="preserve"> </w:t>
      </w:r>
      <w:r>
        <w:t xml:space="preserve">and the sample standard deviation is in mg/dL,</w:t>
      </w:r>
      <w:r>
        <w:t xml:space="preserve"> </w:t>
      </w:r>
      <w:r>
        <w:t xml:space="preserve">like the cholesterol values themselves.</w:t>
      </w:r>
    </w:p>
    <w:bookmarkEnd w:id="24"/>
    <w:bookmarkStart w:id="26" w:name="def-quartiles"/>
    <w:p>
      <w:pPr>
        <w:pStyle w:val="BodyText"/>
      </w:pPr>
      <w:r>
        <w:rPr>
          <w:b/>
          <w:bCs/>
        </w:rPr>
        <w:t xml:space="preserve">Definition 5 (Quartiles)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first quartile</w:t>
      </w:r>
      <w:r>
        <w:t xml:space="preserve"> </w:t>
      </w:r>
      <m:oMath>
        <m:sSub>
          <m:e>
            <m:r>
              <m:t>Q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third quartile</w:t>
      </w:r>
      <w:r>
        <w:t xml:space="preserve"> </w:t>
      </w:r>
      <m:oMath>
        <m:sSub>
          <m:e>
            <m:r>
              <m:t>Q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are the sample 0.25 and 0.75 quantiles</w:t>
      </w:r>
      <w:r>
        <w:t xml:space="preserve"> </w:t>
      </w:r>
      <w:r>
        <w:t xml:space="preserve">(</w:t>
      </w:r>
      <w:hyperlink r:id="rId25">
        <w:r>
          <w:rPr>
            <w:rStyle w:val="Hyperlink"/>
          </w:rPr>
          <w:t xml:space="preserve">sample quantile</w:t>
        </w:r>
      </w:hyperlink>
      <w:r>
        <w:t xml:space="preserve">),</w:t>
      </w:r>
      <w:r>
        <w:t xml:space="preserve"> </w:t>
      </w:r>
      <w:r>
        <w:t xml:space="preserve">also called the 25th and 75th percentiles.</w:t>
      </w:r>
    </w:p>
    <w:bookmarkEnd w:id="26"/>
    <w:p>
      <w:pPr>
        <w:pStyle w:val="BodyText"/>
      </w:pPr>
      <w:r>
        <w:t xml:space="preserve">With an odd number of observations,</w:t>
      </w:r>
      <w:r>
        <w:t xml:space="preserve"> </w:t>
      </w:r>
      <w:r>
        <w:t xml:space="preserve">the sample 0.5 quantile equals the</w:t>
      </w:r>
      <w:r>
        <w:t xml:space="preserve"> </w:t>
      </w:r>
      <w:hyperlink w:anchor="def-sample-median">
        <w:r>
          <w:rPr>
            <w:rStyle w:val="Hyperlink"/>
          </w:rPr>
          <w:t xml:space="preserve">sample median</w:t>
        </w:r>
      </w:hyperlink>
      <w:r>
        <w:t xml:space="preserve">;</w:t>
      </w:r>
      <w:r>
        <w:t xml:space="preserve"> </w:t>
      </w:r>
      <w:r>
        <w:t xml:space="preserve">with an even number they can differ,</w:t>
      </w:r>
      <w:r>
        <w:t xml:space="preserve"> </w:t>
      </w:r>
      <w:r>
        <w:t xml:space="preserve">because the median averages the two middle order statistics.</w:t>
      </w:r>
      <w:r>
        <w:t xml:space="preserve"> </w:t>
      </w:r>
      <w:r>
        <w:t xml:space="preserve">Software packages compute quartiles with different quantile definitions,</w:t>
      </w:r>
      <w:r>
        <w:t xml:space="preserve"> </w:t>
      </w:r>
      <w:r>
        <w:t xml:space="preserve">so they can disagree slightly for the same data</w:t>
      </w:r>
      <w:r>
        <w:t xml:space="preserve"> </w:t>
      </w:r>
      <w:r>
        <w:t xml:space="preserve">(</w:t>
      </w:r>
      <w:hyperlink r:id="rId27">
        <w:r>
          <w:rPr>
            <w:rStyle w:val="Hyperlink"/>
          </w:rPr>
          <w:t xml:space="preserve">quantile conventions</w:t>
        </w:r>
      </w:hyperlink>
      <w:r>
        <w:t xml:space="preserve">);</w:t>
      </w:r>
      <w:r>
        <w:t xml:space="preserve"> </w:t>
      </w:r>
      <w:r>
        <w:t xml:space="preserve">R’s</w:t>
      </w:r>
      <w:r>
        <w:t xml:space="preserve"> </w:t>
      </w:r>
      <w:r>
        <w:rPr>
          <w:rStyle w:val="VerbatimChar"/>
        </w:rPr>
        <w:t xml:space="preserve">quantile(type = 1)</w:t>
      </w:r>
      <w:r>
        <w:t xml:space="preserve"> </w:t>
      </w:r>
      <w:r>
        <w:t xml:space="preserve">matches these notes’ definition,</w:t>
      </w:r>
      <w:r>
        <w:t xml:space="preserve"> </w:t>
      </w:r>
      <w:r>
        <w:t xml:space="preserve">and R’s default,</w:t>
      </w:r>
      <w:r>
        <w:t xml:space="preserve"> </w:t>
      </w:r>
      <w:r>
        <w:rPr>
          <w:rStyle w:val="VerbatimChar"/>
        </w:rPr>
        <w:t xml:space="preserve">type = 7</w:t>
      </w:r>
      <w:r>
        <w:t xml:space="preserve">, interpolates.</w:t>
      </w:r>
    </w:p>
    <w:bookmarkStart w:id="28" w:name="def-IQR"/>
    <w:p>
      <w:pPr>
        <w:pStyle w:val="BodyText"/>
      </w:pPr>
      <w:r>
        <w:rPr>
          <w:b/>
          <w:bCs/>
        </w:rPr>
        <w:t xml:space="preserve">Definition 6 (Interquartile range)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interquartile range</w:t>
      </w:r>
      <w:r>
        <w:t xml:space="preserve"> </w:t>
      </w:r>
      <w:r>
        <w:t xml:space="preserve">(IQR) is the difference between the</w:t>
      </w:r>
      <w:r>
        <w:t xml:space="preserve"> </w:t>
      </w:r>
      <w:r>
        <w:t xml:space="preserve">third and first</w:t>
      </w:r>
      <w:r>
        <w:t xml:space="preserve"> </w:t>
      </w:r>
      <w:hyperlink w:anchor="def-quartiles">
        <w:r>
          <w:rPr>
            <w:rStyle w:val="Hyperlink"/>
          </w:rPr>
          <w:t xml:space="preserve">quartiles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IQR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sSub>
            <m:e>
              <m:r>
                <m:t>Q</m:t>
              </m:r>
            </m:e>
            <m:sub>
              <m:r>
                <m:t>3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Q</m:t>
              </m:r>
            </m:e>
            <m:sub>
              <m:r>
                <m:t>1</m:t>
              </m:r>
            </m:sub>
          </m:sSub>
        </m:oMath>
      </m:oMathPara>
    </w:p>
    <w:bookmarkEnd w:id="28"/>
    <w:bookmarkStart w:id="29" w:name="exm-IQR"/>
    <w:p>
      <w:pPr>
        <w:pStyle w:val="FirstParagraph"/>
      </w:pPr>
      <w:r>
        <w:rPr>
          <w:b/>
          <w:bCs/>
        </w:rPr>
        <w:t xml:space="preserve">Example 4 (Quartiles and IQR of cholesterol in the WCGS)</w:t>
      </w:r>
      <w:r>
        <w:t xml:space="preserve"> </w:t>
      </w:r>
      <w:r>
        <w:t xml:space="preserve"> </w:t>
      </w:r>
    </w:p>
    <w:p>
      <w:pPr>
        <w:pStyle w:val="SourceCode"/>
      </w:pPr>
      <w:r>
        <w:rPr>
          <w:rStyle w:val="FunctionTok"/>
        </w:rPr>
        <w:t xml:space="preserve">quantile</w:t>
      </w:r>
      <w:r>
        <w:rPr>
          <w:rStyle w:val="NormalTok"/>
        </w:rPr>
        <w:t xml:space="preserve">(wcgs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chol, </w:t>
      </w:r>
      <w:r>
        <w:rPr>
          <w:rStyle w:val="AttributeTok"/>
        </w:rPr>
        <w:t xml:space="preserve">probs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0.25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0.75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na.rm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25% 75% </w:t>
      </w:r>
      <w:r>
        <w:br/>
      </w:r>
      <w:r>
        <w:rPr>
          <w:rStyle w:val="CommentTok"/>
        </w:rPr>
        <w:t xml:space="preserve">#&gt; 197 253</w:t>
      </w:r>
      <w:r>
        <w:br/>
      </w:r>
      <w:r>
        <w:rPr>
          <w:rStyle w:val="FunctionTok"/>
        </w:rPr>
        <w:t xml:space="preserve">IQR</w:t>
      </w:r>
      <w:r>
        <w:rPr>
          <w:rStyle w:val="NormalTok"/>
        </w:rPr>
        <w:t xml:space="preserve">(wcgs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chol, </w:t>
      </w:r>
      <w:r>
        <w:rPr>
          <w:rStyle w:val="AttributeTok"/>
        </w:rPr>
        <w:t xml:space="preserve">na.rm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[1] 56</w:t>
      </w:r>
    </w:p>
    <w:p>
      <w:pPr>
        <w:pStyle w:val="FirstParagraph"/>
      </w:pPr>
      <w:r>
        <w:t xml:space="preserve">The middle half of the cholesterol values span</w:t>
      </w:r>
      <w:r>
        <w:t xml:space="preserve"> </w:t>
      </w:r>
      <w:r>
        <w:t xml:space="preserve">56 mg/dL.</w:t>
      </w:r>
      <w:r>
        <w:t xml:space="preserve"> </w:t>
      </w:r>
      <w:r>
        <w:t xml:space="preserve">Like the median, the IQR does not depend on the most extreme values,</w:t>
      </w:r>
      <w:r>
        <w:t xml:space="preserve"> </w:t>
      </w:r>
      <w:r>
        <w:t xml:space="preserve">so it is less sensitive to outliers than the standard deviation.</w:t>
      </w:r>
    </w:p>
    <w:bookmarkEnd w:id="29"/>
    <w:bookmarkEnd w:id="30"/>
    <w:bookmarkStart w:id="32" w:name="summary-statistics-in-r"/>
    <w:p>
      <w:pPr>
        <w:pStyle w:val="Heading3"/>
      </w:pPr>
      <w:r>
        <w:t xml:space="preserve">2.3 Summary statistics in R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summary()</w:t>
      </w:r>
      <w:r>
        <w:t xml:space="preserve"> </w:t>
      </w:r>
      <w:r>
        <w:t xml:space="preserve">function reports the minimum, quartiles, mean, maximum,</w:t>
      </w:r>
      <w:r>
        <w:t xml:space="preserve"> </w:t>
      </w:r>
      <w:r>
        <w:t xml:space="preserve">and number of missing values in one call;</w:t>
      </w:r>
      <w:r>
        <w:t xml:space="preserve"> </w:t>
      </w:r>
      <w:r>
        <w:t xml:space="preserve">its quartiles use R’s default interpolating quantile rule (</w:t>
      </w:r>
      <w:r>
        <w:rPr>
          <w:rStyle w:val="VerbatimChar"/>
        </w:rPr>
        <w:t xml:space="preserve">type = 7</w:t>
      </w:r>
      <w:r>
        <w:t xml:space="preserve">),</w:t>
      </w:r>
      <w:r>
        <w:t xml:space="preserve"> </w:t>
      </w:r>
      <w:r>
        <w:t xml:space="preserve">so they can differ slightly from</w:t>
      </w:r>
      <w:r>
        <w:t xml:space="preserve"> </w:t>
      </w:r>
      <w:hyperlink w:anchor="def-quartiles">
        <w:r>
          <w:rPr>
            <w:rStyle w:val="Hyperlink"/>
          </w:rPr>
          <w:t xml:space="preserve">Definition 5</w:t>
        </w:r>
      </w:hyperlink>
      <w:r>
        <w:t xml:space="preserve">:</w:t>
      </w:r>
    </w:p>
    <w:p>
      <w:pPr>
        <w:pStyle w:val="SourceCode"/>
      </w:pPr>
      <w:r>
        <w:rPr>
          <w:rStyle w:val="FunctionTok"/>
        </w:rPr>
        <w:t xml:space="preserve">summary</w:t>
      </w:r>
      <w:r>
        <w:rPr>
          <w:rStyle w:val="NormalTok"/>
        </w:rPr>
        <w:t xml:space="preserve">(wcgs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chol)</w:t>
      </w:r>
      <w:r>
        <w:br/>
      </w:r>
      <w:r>
        <w:rPr>
          <w:rStyle w:val="CommentTok"/>
        </w:rPr>
        <w:t xml:space="preserve">#&gt;    Min. 1st Qu.  Median    Mean 3rd Qu.    Max.     NAs </w:t>
      </w:r>
      <w:r>
        <w:br/>
      </w:r>
      <w:r>
        <w:rPr>
          <w:rStyle w:val="CommentTok"/>
        </w:rPr>
        <w:t xml:space="preserve">#&gt;     103     197     223     226     253     645      12</w:t>
      </w:r>
    </w:p>
    <w:p>
      <w:pPr>
        <w:pStyle w:val="FirstParagraph"/>
      </w:pPr>
      <w:r>
        <w:t xml:space="preserve">For a formatted table of several variables at once,</w:t>
      </w:r>
      <w:r>
        <w:t xml:space="preserve"> </w:t>
      </w:r>
      <w:r>
        <w:rPr>
          <w:rStyle w:val="VerbatimChar"/>
        </w:rPr>
        <w:t xml:space="preserve">gtsummary::tbl_summary()</w:t>
      </w:r>
      <w:r>
        <w:t xml:space="preserve"> </w:t>
      </w:r>
      <w:r>
        <w:t xml:space="preserve">is useful (</w:t>
      </w:r>
      <w:hyperlink w:anchor="tbl-wcgs-summary-continuous">
        <w:r>
          <w:rPr>
            <w:rStyle w:val="Hyperlink"/>
          </w:rPr>
          <w:t xml:space="preserve">Table 1</w:t>
        </w:r>
      </w:hyperlink>
      <w:r>
        <w:t xml:space="preserve">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1" w:name="tbl-wcgs-summary-continuou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WCGS: descriptive statistics for continuous variables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wcgs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select</w:t>
            </w:r>
            <w:r>
              <w:rPr>
                <w:rStyle w:val="NormalTok"/>
              </w:rPr>
              <w:t xml:space="preserve">(age, chol, sbp, dbp, bmi, weight)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gtsummary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tbl_summary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statistic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gtsummary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all_continuous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~</w:t>
            </w:r>
            <w:r>
              <w:br/>
            </w:r>
            <w:r>
              <w:rPr>
                <w:rStyle w:val="NormalTok"/>
              </w:rPr>
              <w:t xml:space="preserve">        </w:t>
            </w:r>
            <w:r>
              <w:rPr>
                <w:rStyle w:val="StringTok"/>
              </w:rPr>
              <w:t xml:space="preserve">"{mean} ({sd}); {median} [{p25}, {p75}]"</w:t>
            </w:r>
            <w:r>
              <w:br/>
            </w:r>
            <w:r>
              <w:rPr>
                <w:rStyle w:val="NormalTok"/>
              </w:rPr>
              <w:t xml:space="preserve">    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digits =</w:t>
            </w:r>
            <w:r>
              <w:rPr>
                <w:rStyle w:val="NormalTok"/>
              </w:rPr>
              <w:t xml:space="preserve"> gtsummary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all_continuous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br/>
            </w:r>
            <w:r>
              <w:rPr>
                <w:rStyle w:val="NormalTok"/>
              </w:rPr>
              <w:t xml:space="preserve">  )</w:t>
            </w:r>
          </w:p>
      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<w:tblPr>
              <w:tblCellMar>
                <w:top w:w="0" w:type="dxa"/>
                <w:bottom w:w="0" w:type="dxa"/>
                <w:start w:w="60" w:type="dxa"/>
                <w:end w:w="60" w:type="dxa"/>
              </w:tblCellMar>
              <w:tblW w:type="auto" w:w="0"/>
              <w:tblLook w:firstRow="0" w:lastRow="0" w:firstColumn="0" w:lastColumn="0" w:noHBand="0" w:noVBand="0"/>
              <w:jc w:val="center"/>
            </w:tblPr>
            <w:tr>
              <w:trPr>
                <w:cantSplit/>
                <w:tblHeader/>
              </w:trPr>
              <w:tc>
                <w:tcPr>
                  <w:tcBorders>
                    <w:top w:val="single" w:sz="16" w:space="0" w:color="D3D3D3"/>
                    <w:bottom w:val="single" w:sz="16" w:space="0" w:color="D3D3D3"/>
                    <w:start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Characteristic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N = 3,154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Age (years)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46.3 (5.5); 45.0 [42.0, 50.0]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Cholesterol (mg/dL)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226.4 (43.4); 223.0 [197.0, 253.0]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Unknown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12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Systolic BP (mmHg)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128.6 (15.1); 126.0 [120.0, 136.0]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Diastolic BP (mmHg)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82.0 (9.7); 80.0 [76.0, 86.0]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BMI (kg/m^2)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24.5 (2.6); 24.4 [23.0, 25.8]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Weight (lbs)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170.0 (21.1); 170.0 [155.0, 182.0]</w:t>
                  </w:r>
                </w:p>
              </w:tc>
            </w:tr>
            <w:tr>
              <w:trPr>
                <w:cantSplit/>
              </w:trPr>
              <w:tc>
                <w:tcPr>
                  <w:gridSpan w:val="2"/>
                </w:tcPr>
                <w:p>
                  <w:pPr>
                    <w:spacing w:before="0" w:after="60"/>
                    <w:keepNext/>
                  </w:pP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  <w:r>
                    <w:rPr>
                      <w:rFonts w:ascii="Calibri" w:hAnsi="Calibri"/>
                      <w:sz w:val="20"/>
                    </w:rPr>
                    <w:t xml:space="preserve">Mean (SD); Median [Q1, Q3]</w:t>
                  </w:r>
                </w:p>
              </w:tc>
            </w:tr>
          </w:tbl>
          <w:bookmarkEnd w:id="31"/>
        </w:tc>
      </w:tr>
    </w:tbl>
    <w:bookmarkEnd w:id="32"/>
    <w:bookmarkStart w:id="36" w:name="binary-and-categorical-variables"/>
    <w:p>
      <w:pPr>
        <w:pStyle w:val="Heading3"/>
      </w:pPr>
      <w:r>
        <w:t xml:space="preserve">2.4 Binary and categorical variables</w:t>
      </w:r>
    </w:p>
    <w:bookmarkStart w:id="33" w:name="def-sample-proportion"/>
    <w:p>
      <w:pPr>
        <w:pStyle w:val="FirstParagraph"/>
      </w:pPr>
      <w:r>
        <w:rPr>
          <w:b/>
          <w:bCs/>
        </w:rPr>
        <w:t xml:space="preserve">Definition 7 (Sample proportion)</w:t>
      </w:r>
      <w:r>
        <w:t xml:space="preserve"> </w:t>
      </w:r>
      <w:r>
        <w:t xml:space="preserve">For a binary variable with values coded 1 (</w:t>
      </w:r>
      <w:r>
        <w:t xml:space="preserve">“success”</w:t>
      </w:r>
      <w:r>
        <w:t xml:space="preserve">) and 0,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sample proportion</w:t>
      </w:r>
      <w:r>
        <w:t xml:space="preserve"> </w:t>
      </w:r>
      <w:r>
        <w:t xml:space="preserve">of successes is: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p</m:t>
              </m:r>
            </m:e>
          </m:acc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k</m:t>
              </m:r>
            </m:num>
            <m:den>
              <m:r>
                <m:t>n</m:t>
              </m:r>
            </m:den>
          </m:f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the number of successes 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the number of observations.</w:t>
      </w:r>
    </w:p>
    <w:bookmarkEnd w:id="33"/>
    <w:bookmarkStart w:id="34" w:name="exm-sample-proportion"/>
    <w:p>
      <w:pPr>
        <w:pStyle w:val="BodyText"/>
      </w:pPr>
      <w:r>
        <w:rPr>
          <w:b/>
          <w:bCs/>
        </w:rPr>
        <w:t xml:space="preserve">Example 5 (Proportion of WCGS participants with a CHD event)</w:t>
      </w:r>
      <w:r>
        <w:t xml:space="preserve"> </w:t>
      </w:r>
      <w:r>
        <w:t xml:space="preserve"> </w:t>
      </w:r>
    </w:p>
    <w:p>
      <w:pPr>
        <w:pStyle w:val="SourceCode"/>
      </w:pPr>
      <w:r>
        <w:rPr>
          <w:rStyle w:val="FunctionTok"/>
        </w:rPr>
        <w:t xml:space="preserve">table</w:t>
      </w:r>
      <w:r>
        <w:rPr>
          <w:rStyle w:val="NormalTok"/>
        </w:rPr>
        <w:t xml:space="preserve">(wcgs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chd69)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No  Yes </w:t>
      </w:r>
      <w:r>
        <w:br/>
      </w:r>
      <w:r>
        <w:rPr>
          <w:rStyle w:val="CommentTok"/>
        </w:rPr>
        <w:t xml:space="preserve">#&gt; 2897  257</w:t>
      </w:r>
      <w:r>
        <w:br/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(wcgs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chd69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"Yes"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[1] 0.0814838</w:t>
      </w:r>
    </w:p>
    <w:p>
      <w:pPr>
        <w:pStyle w:val="FirstParagraph"/>
      </w:pPr>
      <w:r>
        <w:t xml:space="preserve">257 of the 3154 participants</w:t>
      </w:r>
      <w:r>
        <w:t xml:space="preserve"> </w:t>
      </w:r>
      <w:r>
        <w:t xml:space="preserve">had a CHD event by 1969,</w:t>
      </w:r>
      <w:r>
        <w:t xml:space="preserve"> </w:t>
      </w:r>
      <w:r>
        <w:t xml:space="preserve">a sample proportion of</w:t>
      </w:r>
      <w:r>
        <w:t xml:space="preserve"> </w:t>
      </w:r>
      <w:r>
        <w:t xml:space="preserve">0.081.</w:t>
      </w:r>
    </w:p>
    <w:bookmarkEnd w:id="34"/>
    <w:p>
      <w:pPr>
        <w:pStyle w:val="BodyText"/>
      </w:pPr>
      <w:r>
        <w:t xml:space="preserve">For categorical variables with more than two levels,</w:t>
      </w:r>
      <w:r>
        <w:t xml:space="preserve"> </w:t>
      </w:r>
      <w:r>
        <w:t xml:space="preserve">the natural descriptive statistics are the</w:t>
      </w:r>
      <w:r>
        <w:t xml:space="preserve"> </w:t>
      </w:r>
      <w:r>
        <w:t xml:space="preserve">count of observations in each category</w:t>
      </w:r>
      <w:r>
        <w:t xml:space="preserve"> </w:t>
      </w:r>
      <w:r>
        <w:t xml:space="preserve">and the corresponding proportions (</w:t>
      </w:r>
      <w:hyperlink w:anchor="tbl-wcgs-summary-cat">
        <w:r>
          <w:rPr>
            <w:rStyle w:val="Hyperlink"/>
          </w:rPr>
          <w:t xml:space="preserve">Table 2</w:t>
        </w:r>
      </w:hyperlink>
      <w:r>
        <w:t xml:space="preserve">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5" w:name="tbl-wcgs-summary-cat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Frequency table for categorical variables in the WCGS dataset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wcgs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select</w:t>
            </w:r>
            <w:r>
              <w:rPr>
                <w:rStyle w:val="NormalTok"/>
              </w:rPr>
              <w:t xml:space="preserve">(chd69, smoke, dibpat, behpat, wghtcat)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gtsummary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tbl_summary</w:t>
            </w:r>
            <w:r>
              <w:rPr>
                <w:rStyle w:val="NormalTok"/>
              </w:rPr>
              <w:t xml:space="preserve">()</w:t>
            </w:r>
          </w:p>
      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<w:tblPr>
              <w:tblCellMar>
                <w:top w:w="0" w:type="dxa"/>
                <w:bottom w:w="0" w:type="dxa"/>
                <w:start w:w="60" w:type="dxa"/>
                <w:end w:w="60" w:type="dxa"/>
              </w:tblCellMar>
              <w:tblW w:type="auto" w:w="0"/>
              <w:tblLook w:firstRow="0" w:lastRow="0" w:firstColumn="0" w:lastColumn="0" w:noHBand="0" w:noVBand="0"/>
              <w:jc w:val="center"/>
            </w:tblPr>
            <w:tr>
              <w:trPr>
                <w:cantSplit/>
                <w:tblHeader/>
              </w:trPr>
              <w:tc>
                <w:tcPr>
                  <w:tcBorders>
                    <w:top w:val="single" w:sz="16" w:space="0" w:color="D3D3D3"/>
                    <w:bottom w:val="single" w:sz="16" w:space="0" w:color="D3D3D3"/>
                    <w:start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Characteristic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N = 3,154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CHD event by 1969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257 (8.1%)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Current smoker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1,502 (48%)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Behavioral pattern (A/B)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Type B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1,565 (50%)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Type A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1,589 (50%)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Behavioral pattern (A1/A2/B3/B4)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A1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264 (8.4%)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A2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1,325 (42%)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B3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1,216 (39%)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B4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349 (11%)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Weight category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&lt; 140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232 (7.4%)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140-170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1,538 (49%)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170-200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1,171 (37%)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&gt; 200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213 (6.8%)</w:t>
                  </w:r>
                </w:p>
              </w:tc>
            </w:tr>
            <w:tr>
              <w:trPr>
                <w:cantSplit/>
              </w:trPr>
              <w:tc>
                <w:tcPr>
                  <w:gridSpan w:val="2"/>
                </w:tcPr>
                <w:p>
                  <w:pPr>
                    <w:spacing w:before="0" w:after="60"/>
                    <w:keepNext/>
                  </w:pP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  <w:r>
                    <w:rPr>
                      <w:rFonts w:ascii="Calibri" w:hAnsi="Calibri"/>
                      <w:sz w:val="20"/>
                    </w:rPr>
                    <w:t xml:space="preserve">n (%)</w:t>
                  </w:r>
                </w:p>
              </w:tc>
            </w:tr>
          </w:tbl>
          <w:bookmarkEnd w:id="35"/>
        </w:tc>
      </w:tr>
    </w:tbl>
    <w:bookmarkEnd w:id="36"/>
    <w:bookmarkEnd w:id="37"/>
    <w:bookmarkStart w:id="68" w:name="graphical-methods"/>
    <w:p>
      <w:pPr>
        <w:pStyle w:val="Heading2"/>
      </w:pPr>
      <w:r>
        <w:t xml:space="preserve">3 Graphical methods</w:t>
      </w:r>
    </w:p>
    <w:p>
      <w:pPr>
        <w:pStyle w:val="FirstParagraph"/>
      </w:pPr>
      <w:r>
        <w:t xml:space="preserve">Graphs can reveal features of a distribution</w:t>
      </w:r>
      <w:r>
        <w:t xml:space="preserve"> </w:t>
      </w:r>
      <w:r>
        <w:t xml:space="preserve">that summary statistics miss,</w:t>
      </w:r>
      <w:r>
        <w:t xml:space="preserve"> </w:t>
      </w:r>
      <w:r>
        <w:t xml:space="preserve">such as skewness, multiple peaks, and outliers.</w:t>
      </w:r>
      <w:r>
        <w:t xml:space="preserve"> </w:t>
      </w:r>
      <w:r>
        <w:t xml:space="preserve">Different types of graph suit different types of variable.</w:t>
      </w:r>
    </w:p>
    <w:bookmarkStart w:id="43" w:name="histograms"/>
    <w:p>
      <w:pPr>
        <w:pStyle w:val="Heading3"/>
      </w:pPr>
      <w:r>
        <w:t xml:space="preserve">3.1 Histograms</w:t>
      </w:r>
    </w:p>
    <w:bookmarkStart w:id="38" w:name="def-histogram"/>
    <w:p>
      <w:pPr>
        <w:pStyle w:val="FirstParagraph"/>
      </w:pPr>
      <w:r>
        <w:rPr>
          <w:b/>
          <w:bCs/>
        </w:rPr>
        <w:t xml:space="preserve">Definition 8 (Histogram)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histogram</w:t>
      </w:r>
      <w:r>
        <w:t xml:space="preserve"> </w:t>
      </w:r>
      <w:r>
        <w:t xml:space="preserve">displays the distribution of a continuous variable</w:t>
      </w:r>
      <w:r>
        <w:t xml:space="preserve"> </w:t>
      </w:r>
      <w:r>
        <w:t xml:space="preserve">by dividing the variable’s range into intervals</w:t>
      </w:r>
      <w:r>
        <w:t xml:space="preserve"> </w:t>
      </w:r>
      <w:r>
        <w:t xml:space="preserve">and drawing a bar over each interval</w:t>
      </w:r>
      <w:r>
        <w:t xml:space="preserve"> </w:t>
      </w:r>
      <w:r>
        <w:t xml:space="preserve">whose height is the number (or proportion) of observations in that interval.</w:t>
      </w:r>
    </w:p>
    <w:bookmarkEnd w:id="38"/>
    <w:p>
      <w:pPr>
        <w:pStyle w:val="BodyText"/>
      </w:pPr>
      <w:r>
        <w:t xml:space="preserve">The intervals are often called</w:t>
      </w:r>
      <w:r>
        <w:t xml:space="preserve"> </w:t>
      </w:r>
      <w:r>
        <w:rPr>
          <w:i/>
          <w:iCs/>
        </w:rPr>
        <w:t xml:space="preserve">bins</w:t>
      </w:r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2" w:name="fig-hist-chol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wcgs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chol)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geom_histogram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bins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fill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"steelblue"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"white"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"Cholesterol (mg/dL)"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"Count"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40" name="Picture"/>
                  <a:graphic>
                    <a:graphicData uri="http://schemas.openxmlformats.org/drawingml/2006/picture">
                      <pic:pic>
                        <pic:nvPicPr>
                          <pic:cNvPr descr="exploratory-descriptive_files/figure-docx/unnamed-chunk-8-1.png" id="4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Histogram of total cholesterol in the WCGS dataset</w:t>
            </w:r>
          </w:p>
          <w:bookmarkEnd w:id="42"/>
        </w:tc>
      </w:tr>
    </w:tbl>
    <w:p>
      <w:pPr>
        <w:pStyle w:val="BodyText"/>
      </w:pPr>
      <w:hyperlink w:anchor="fig-hist-chol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shows a single-peaked distribution</w:t>
      </w:r>
      <w:r>
        <w:t xml:space="preserve"> </w:t>
      </w:r>
      <w:r>
        <w:t xml:space="preserve">with a longer right tail than left tail:</w:t>
      </w:r>
      <w:r>
        <w:t xml:space="preserve"> </w:t>
      </w:r>
      <w:r>
        <w:t xml:space="preserve">97%</w:t>
      </w:r>
      <w:r>
        <w:t xml:space="preserve"> </w:t>
      </w:r>
      <w:r>
        <w:t xml:space="preserve">of the values lie between 150 and 350 mg/dL,</w:t>
      </w:r>
      <w:r>
        <w:t xml:space="preserve"> </w:t>
      </w:r>
      <w:r>
        <w:t xml:space="preserve">but the largest value is 645 mg/dL.</w:t>
      </w:r>
    </w:p>
    <w:bookmarkEnd w:id="43"/>
    <w:bookmarkStart w:id="49" w:name="density-plots"/>
    <w:p>
      <w:pPr>
        <w:pStyle w:val="Heading3"/>
      </w:pPr>
      <w:r>
        <w:t xml:space="preserve">3.2 Density plots</w:t>
      </w:r>
    </w:p>
    <w:bookmarkStart w:id="44" w:name="def-density-plot"/>
    <w:p>
      <w:pPr>
        <w:pStyle w:val="FirstParagraph"/>
      </w:pPr>
      <w:r>
        <w:rPr>
          <w:b/>
          <w:bCs/>
        </w:rPr>
        <w:t xml:space="preserve">Definition 9 (Density plot)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density plot</w:t>
      </w:r>
      <w:r>
        <w:t xml:space="preserve"> </w:t>
      </w:r>
      <w:r>
        <w:t xml:space="preserve">draws a smooth curve</w:t>
      </w:r>
      <w:r>
        <w:t xml:space="preserve"> </w:t>
      </w:r>
      <w:r>
        <w:t xml:space="preserve">that estimates the probability density of a continuous variable,</w:t>
      </w:r>
      <w:r>
        <w:t xml:space="preserve"> </w:t>
      </w:r>
      <w:r>
        <w:t xml:space="preserve">scaled so that the area under the curve is 1.</w:t>
      </w:r>
    </w:p>
    <w:bookmarkEnd w:id="44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8" w:name="fig-density-chol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wcgs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chol)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geom_density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fill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"steelblue"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alpha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"Cholesterol (mg/dL)"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"Density"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exploratory-descriptive_files/figure-docx/unnamed-chunk-9-1.pn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Density plot of total cholesterol in the WCGS dataset</w:t>
            </w:r>
          </w:p>
          <w:bookmarkEnd w:id="48"/>
        </w:tc>
      </w:tr>
    </w:tbl>
    <w:bookmarkEnd w:id="49"/>
    <w:bookmarkStart w:id="55" w:name="box-plots"/>
    <w:p>
      <w:pPr>
        <w:pStyle w:val="Heading3"/>
      </w:pPr>
      <w:r>
        <w:t xml:space="preserve">3.3 Box plots</w:t>
      </w:r>
    </w:p>
    <w:bookmarkStart w:id="50" w:name="def-boxplot"/>
    <w:p>
      <w:pPr>
        <w:pStyle w:val="FirstParagraph"/>
      </w:pPr>
      <w:r>
        <w:rPr>
          <w:b/>
          <w:bCs/>
        </w:rPr>
        <w:t xml:space="preserve">Definition 10 (Box plot)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box plot</w:t>
      </w:r>
      <w:r>
        <w:t xml:space="preserve"> </w:t>
      </w:r>
      <w:r>
        <w:t xml:space="preserve">(or box-and-whisker plot) summarizes the distribution</w:t>
      </w:r>
      <w:r>
        <w:t xml:space="preserve"> </w:t>
      </w:r>
      <w:r>
        <w:t xml:space="preserve">of a continuous variable:</w:t>
      </w:r>
    </w:p>
    <w:p>
      <w:pPr>
        <w:pStyle w:val="Compact"/>
        <w:numPr>
          <w:ilvl w:val="0"/>
          <w:numId w:val="1004"/>
        </w:numPr>
      </w:pPr>
      <w:r>
        <w:t xml:space="preserve">the box spans the first to the third</w:t>
      </w:r>
      <w:r>
        <w:t xml:space="preserve"> </w:t>
      </w:r>
      <w:hyperlink w:anchor="def-quartiles">
        <w:r>
          <w:rPr>
            <w:rStyle w:val="Hyperlink"/>
          </w:rPr>
          <w:t xml:space="preserve">quartile</w:t>
        </w:r>
      </w:hyperlink>
      <w:r>
        <w:t xml:space="preserve">,</w:t>
      </w:r>
      <w:r>
        <w:t xml:space="preserve"> </w:t>
      </w:r>
      <w:r>
        <w:t xml:space="preserve">so its length is the</w:t>
      </w:r>
      <w:r>
        <w:t xml:space="preserve"> </w:t>
      </w:r>
      <w:hyperlink w:anchor="def-IQR">
        <w:r>
          <w:rPr>
            <w:rStyle w:val="Hyperlink"/>
          </w:rPr>
          <w:t xml:space="preserve">IQR</w:t>
        </w:r>
      </w:hyperlink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a line inside the box marks the</w:t>
      </w:r>
      <w:r>
        <w:t xml:space="preserve"> </w:t>
      </w:r>
      <w:hyperlink w:anchor="def-sample-median">
        <w:r>
          <w:rPr>
            <w:rStyle w:val="Hyperlink"/>
          </w:rPr>
          <w:t xml:space="preserve">median</w:t>
        </w:r>
      </w:hyperlink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the whiskers extend from the box</w:t>
      </w:r>
      <w:r>
        <w:t xml:space="preserve"> </w:t>
      </w:r>
      <w:r>
        <w:t xml:space="preserve">to the most extreme observations within</w:t>
      </w:r>
      <w:r>
        <w:t xml:space="preserve"> </w:t>
      </w:r>
      <m:oMath>
        <m:r>
          <m:t>1.5</m:t>
        </m:r>
        <m:r>
          <m:rPr>
            <m:sty m:val="p"/>
          </m:rPr>
          <m:t>×</m:t>
        </m:r>
        <m:r>
          <m:rPr>
            <m:nor/>
            <m:sty m:val="p"/>
          </m:rPr>
          <m:t>IQR</m:t>
        </m:r>
      </m:oMath>
      <w:r>
        <w:t xml:space="preserve"> </w:t>
      </w:r>
      <w:r>
        <w:t xml:space="preserve">of the box;</w:t>
      </w:r>
    </w:p>
    <w:p>
      <w:pPr>
        <w:pStyle w:val="Compact"/>
        <w:numPr>
          <w:ilvl w:val="0"/>
          <w:numId w:val="1004"/>
        </w:numPr>
      </w:pPr>
      <w:r>
        <w:t xml:space="preserve">observations beyond the whiskers are plotted individually,</w:t>
      </w:r>
      <w:r>
        <w:t xml:space="preserve"> </w:t>
      </w:r>
      <w:r>
        <w:t xml:space="preserve">as potential outliers.</w:t>
      </w:r>
    </w:p>
    <w:bookmarkEnd w:id="50"/>
    <w:p>
      <w:pPr>
        <w:pStyle w:val="FirstParagraph"/>
      </w:pPr>
      <w:r>
        <w:t xml:space="preserve">The</w:t>
      </w:r>
      <w:r>
        <w:t xml:space="preserve"> </w:t>
      </w:r>
      <m:oMath>
        <m:r>
          <m:t>1.5</m:t>
        </m:r>
        <m:r>
          <m:rPr>
            <m:sty m:val="p"/>
          </m:rPr>
          <m:t>×</m:t>
        </m:r>
        <m:r>
          <m:rPr>
            <m:nor/>
            <m:sty m:val="p"/>
          </m:rPr>
          <m:t>IQR</m:t>
        </m:r>
      </m:oMath>
      <w:r>
        <w:t xml:space="preserve"> </w:t>
      </w:r>
      <w:r>
        <w:t xml:space="preserve">whisker rule is the default in R’s</w:t>
      </w:r>
      <w:r>
        <w:t xml:space="preserve"> </w:t>
      </w:r>
      <w:r>
        <w:rPr>
          <w:rStyle w:val="VerbatimChar"/>
        </w:rPr>
        <w:t xml:space="preserve">boxplot()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ggplot2::geom_boxplot()</w:t>
      </w:r>
      <w:r>
        <w:t xml:space="preserve">;</w:t>
      </w:r>
      <w:r>
        <w:t xml:space="preserve"> </w:t>
      </w:r>
      <w:r>
        <w:t xml:space="preserve">other software and authors use other rules,</w:t>
      </w:r>
      <w:r>
        <w:t xml:space="preserve"> </w:t>
      </w:r>
      <w:r>
        <w:t xml:space="preserve">such as whiskers that run to the minimum and maximum.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4" w:name="fig-box-chol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wcgs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chol)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geom_boxplot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fill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"steelblue"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"Cholesterol (mg/dL)"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axis.text.x =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element_blank</w:t>
            </w:r>
            <w:r>
              <w:rPr>
                <w:rStyle w:val="NormalTok"/>
              </w:rPr>
              <w:t xml:space="preserve">())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exploratory-descriptive_files/figure-docx/unnamed-chunk-10-1.pn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Box plot of total cholesterol in the WCGS dataset</w:t>
            </w:r>
          </w:p>
          <w:bookmarkEnd w:id="54"/>
        </w:tc>
      </w:tr>
    </w:tbl>
    <w:bookmarkEnd w:id="55"/>
    <w:bookmarkStart w:id="61" w:name="bar-charts"/>
    <w:p>
      <w:pPr>
        <w:pStyle w:val="Heading3"/>
      </w:pPr>
      <w:r>
        <w:t xml:space="preserve">3.4 Bar charts</w:t>
      </w:r>
    </w:p>
    <w:bookmarkStart w:id="56" w:name="def-bar-chart"/>
    <w:p>
      <w:pPr>
        <w:pStyle w:val="FirstParagraph"/>
      </w:pPr>
      <w:r>
        <w:rPr>
          <w:b/>
          <w:bCs/>
        </w:rPr>
        <w:t xml:space="preserve">Definition 11 (Bar chart)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bar chart</w:t>
      </w:r>
      <w:r>
        <w:t xml:space="preserve"> </w:t>
      </w:r>
      <w:r>
        <w:t xml:space="preserve">displays the number or proportion of observations</w:t>
      </w:r>
      <w:r>
        <w:t xml:space="preserve"> </w:t>
      </w:r>
      <w:r>
        <w:t xml:space="preserve">in each category of a categorical variable,</w:t>
      </w:r>
      <w:r>
        <w:t xml:space="preserve"> </w:t>
      </w:r>
      <w:r>
        <w:t xml:space="preserve">as one bar per category.</w:t>
      </w:r>
    </w:p>
    <w:bookmarkEnd w:id="56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0" w:name="fig-bar-behpat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wcgs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behpat)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geom_bar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fill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"steelblue"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"Behavioral pattern"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"Count"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exploratory-descriptive_files/figure-docx/unnamed-chunk-11-1.pn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4: Bar chart of behavioral pattern in the WCGS dataset</w:t>
            </w:r>
          </w:p>
          <w:bookmarkEnd w:id="60"/>
        </w:tc>
      </w:tr>
    </w:tbl>
    <w:bookmarkEnd w:id="61"/>
    <w:bookmarkStart w:id="67" w:name="normal-quantile-quantile-plots"/>
    <w:p>
      <w:pPr>
        <w:pStyle w:val="Heading3"/>
      </w:pPr>
      <w:r>
        <w:t xml:space="preserve">3.5 Normal quantile-quantile plots</w:t>
      </w:r>
    </w:p>
    <w:bookmarkStart w:id="62" w:name="def-qq-plot"/>
    <w:p>
      <w:pPr>
        <w:pStyle w:val="FirstParagraph"/>
      </w:pPr>
      <w:r>
        <w:rPr>
          <w:b/>
          <w:bCs/>
        </w:rPr>
        <w:t xml:space="preserve">Definition 12 (Normal quantile-quantile plot)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normal quantile-quantile (Q-Q) plot</w:t>
      </w:r>
      <w:r>
        <w:t xml:space="preserve"> </w:t>
      </w:r>
      <w:r>
        <w:t xml:space="preserve">plots the sorted observations</w:t>
      </w:r>
      <w:r>
        <w:t xml:space="preserve"> </w:t>
      </w:r>
      <w:r>
        <w:t xml:space="preserve">(</w:t>
      </w:r>
      <w:hyperlink r:id="rId18">
        <w:r>
          <w:rPr>
            <w:rStyle w:val="Hyperlink"/>
          </w:rPr>
          <w:t xml:space="preserve">order statistics</w:t>
        </w:r>
      </w:hyperlink>
      <w:r>
        <w:t xml:space="preserve">)</w:t>
      </w:r>
      <w:r>
        <w:t xml:space="preserve"> </w:t>
      </w:r>
      <w:r>
        <w:t xml:space="preserve">against the corresponding quantiles of a standard Gaussian distribution.</w:t>
      </w:r>
      <w:r>
        <w:t xml:space="preserve"> </w:t>
      </w:r>
      <w:r>
        <w:t xml:space="preserve">If the variable is approximately Gaussian,</w:t>
      </w:r>
      <w:r>
        <w:t xml:space="preserve"> </w:t>
      </w:r>
      <w:r>
        <w:t xml:space="preserve">the points fall close to a straight line.</w:t>
      </w:r>
    </w:p>
    <w:bookmarkEnd w:id="62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6" w:name="fig-qq-chol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wcgs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sample =</w:t>
            </w:r>
            <w:r>
              <w:rPr>
                <w:rStyle w:val="NormalTok"/>
              </w:rPr>
              <w:t xml:space="preserve"> chol)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stat_qq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stat_qq_line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color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"red"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"Standard Gaussian quantiles"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"Cholesterol (mg/dL)"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exploratory-descriptive_files/figure-docx/unnamed-chunk-12-1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5: Normal Q-Q plot for total cholesterol in the WCGS dataset</w:t>
            </w:r>
          </w:p>
          <w:bookmarkEnd w:id="66"/>
        </w:tc>
      </w:tr>
    </w:tbl>
    <w:p>
      <w:pPr>
        <w:pStyle w:val="BodyText"/>
      </w:pPr>
      <w:r>
        <w:t xml:space="preserve">In</w:t>
      </w:r>
      <w:r>
        <w:t xml:space="preserve"> </w:t>
      </w:r>
      <w:hyperlink w:anchor="fig-qq-chol">
        <w:r>
          <w:rPr>
            <w:rStyle w:val="Hyperlink"/>
          </w:rPr>
          <w:t xml:space="preserve">Figure 5</w:t>
        </w:r>
      </w:hyperlink>
      <w:r>
        <w:t xml:space="preserve">, the points curve above the reference line at the right,</w:t>
      </w:r>
      <w:r>
        <w:t xml:space="preserve"> </w:t>
      </w:r>
      <w:r>
        <w:t xml:space="preserve">which matches the long right tail in</w:t>
      </w:r>
      <w:r>
        <w:t xml:space="preserve"> </w:t>
      </w:r>
      <w:hyperlink w:anchor="fig-hist-chol">
        <w:r>
          <w:rPr>
            <w:rStyle w:val="Hyperlink"/>
          </w:rPr>
          <w:t xml:space="preserve">Figure 1</w:t>
        </w:r>
      </w:hyperlink>
      <w:r>
        <w:t xml:space="preserve">.</w:t>
      </w:r>
    </w:p>
    <w:bookmarkEnd w:id="67"/>
    <w:bookmarkEnd w:id="68"/>
    <w:bookmarkStart w:id="95" w:name="bivariate-relationships"/>
    <w:p>
      <w:pPr>
        <w:pStyle w:val="Heading2"/>
      </w:pPr>
      <w:r>
        <w:t xml:space="preserve">4 Bivariate relationships</w:t>
      </w:r>
    </w:p>
    <w:bookmarkStart w:id="80" w:name="two-continuous-variables"/>
    <w:p>
      <w:pPr>
        <w:pStyle w:val="Heading3"/>
      </w:pPr>
      <w:r>
        <w:t xml:space="preserve">4.1 Two continuous variables</w:t>
      </w:r>
    </w:p>
    <w:bookmarkStart w:id="69" w:name="def-scatterplot"/>
    <w:p>
      <w:pPr>
        <w:pStyle w:val="FirstParagraph"/>
      </w:pPr>
      <w:r>
        <w:rPr>
          <w:b/>
          <w:bCs/>
        </w:rPr>
        <w:t xml:space="preserve">Definition 13 (Scatter plot)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scatter plot</w:t>
      </w:r>
      <w:r>
        <w:t xml:space="preserve"> </w:t>
      </w:r>
      <w:r>
        <w:t xml:space="preserve">displays the joint distribution of two continuous variables</w:t>
      </w:r>
      <w:r>
        <w:t xml:space="preserve"> </w:t>
      </w:r>
      <w:r>
        <w:t xml:space="preserve">by plotting each observation as a point,</w:t>
      </w:r>
      <w:r>
        <w:t xml:space="preserve"> </w:t>
      </w:r>
      <w:r>
        <w:t xml:space="preserve">with one variable on each axis.</w:t>
      </w:r>
    </w:p>
    <w:bookmarkEnd w:id="69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73" w:name="fig-scatter-chol-sbp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wcgs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sbp,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chol)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alpha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geom_smooth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method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"lm"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se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TRUE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"red"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"Systolic BP (mmHg)"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"Cholesterol (mg/dL)"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71" name="Picture"/>
                  <a:graphic>
                    <a:graphicData uri="http://schemas.openxmlformats.org/drawingml/2006/picture">
                      <pic:pic>
                        <pic:nvPicPr>
                          <pic:cNvPr descr="exploratory-descriptive_files/figure-docx/unnamed-chunk-13-1.png" id="7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6: Cholesterol versus systolic blood pressure in the WCGS dataset,</w:t>
            </w:r>
            <w:r>
              <w:t xml:space="preserve"> </w:t>
            </w:r>
            <w:r>
              <w:t xml:space="preserve">with a least-squares line</w:t>
            </w:r>
          </w:p>
          <w:bookmarkEnd w:id="73"/>
        </w:tc>
      </w:tr>
    </w:tbl>
    <w:bookmarkStart w:id="74" w:name="def-pearson-r"/>
    <w:p>
      <w:pPr>
        <w:pStyle w:val="BodyText"/>
      </w:pPr>
      <w:r>
        <w:rPr>
          <w:b/>
          <w:bCs/>
        </w:rPr>
        <w:t xml:space="preserve">Definition 14 (Pearson correlation coefficient)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Pearson correlation coefficient</w:t>
      </w:r>
      <w:r>
        <w:t xml:space="preserve"> </w:t>
      </w:r>
      <w:r>
        <w:t xml:space="preserve">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paired observations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r>
            <m:t>r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)</m:t>
              </m:r>
            </m:num>
            <m:den>
              <m:rad>
                <m:radPr>
                  <m:degHide m:val="on"/>
                </m:radPr>
                <m:deg/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r>
                        <m:rPr>
                          <m:sty m:val="p"/>
                        </m:rPr>
                        <m:t>(</m:t>
                      </m:r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  <m:rad>
                <m:radPr>
                  <m:degHide m:val="on"/>
                </m:radPr>
                <m:deg/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r>
                        <m:rPr>
                          <m:sty m:val="p"/>
                        </m:rPr>
                        <m:t>(</m:t>
                      </m:r>
                    </m:e>
                  </m:nary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acc>
                    <m:accPr>
                      <m:chr m:val="‾"/>
                    </m:accPr>
                    <m:e>
                      <m:r>
                        <m:t>y</m:t>
                      </m:r>
                    </m:e>
                  </m:acc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</m:den>
          </m:f>
        </m:oMath>
      </m:oMathPara>
    </w:p>
    <w:p>
      <w:pPr>
        <w:pStyle w:val="FirstParagraph"/>
      </w:pPr>
      <w:r>
        <w:t xml:space="preserve">It is defined when neither variable is constant,</w:t>
      </w:r>
      <w:r>
        <w:t xml:space="preserve"> </w:t>
      </w:r>
      <w:r>
        <w:t xml:space="preserve">so that both sums of squares are positive.</w:t>
      </w:r>
    </w:p>
    <w:bookmarkEnd w:id="74"/>
    <w:bookmarkStart w:id="75" w:name="thm-pearson-r-range"/>
    <w:p>
      <w:pPr>
        <w:pStyle w:val="BodyText"/>
      </w:pPr>
      <w:r>
        <w:rPr>
          <w:b/>
          <w:bCs/>
        </w:rPr>
        <w:t xml:space="preserve">Theorem 1 (Range of the correlation coefficient)</w:t>
      </w:r>
      <w:r>
        <w:t xml:space="preserve"> </w:t>
      </w:r>
      <w:r>
        <w:t xml:space="preserve">The Pearson correlation coefficient satisfies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t>r</m:t>
        </m:r>
        <m:r>
          <m:rPr>
            <m:sty m:val="p"/>
          </m:rPr>
          <m:t>≤</m:t>
        </m:r>
        <m:r>
          <m:t>1</m:t>
        </m:r>
      </m:oMath>
      <w:r>
        <w:t xml:space="preserve">.</w:t>
      </w:r>
      <w:r>
        <w:t xml:space="preserve"> </w:t>
      </w:r>
      <w:r>
        <w:t xml:space="preserve">Moreover,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if and only if the points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lie on a straight line with positive slope,</w:t>
      </w:r>
      <w:r>
        <w:t xml:space="preserve"> </w:t>
      </w:r>
      <w:r>
        <w:t xml:space="preserve">and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if and only if they lie on a straight line with negative slope.</w:t>
      </w:r>
    </w:p>
    <w:bookmarkEnd w:id="7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Write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acc>
          <m:accPr>
            <m:chr m:val="‾"/>
          </m:accPr>
          <m:e>
            <m:r>
              <m:t>x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b</m:t>
            </m:r>
          </m:e>
          <m:sub>
            <m:r>
              <m:t>i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acc>
          <m:accPr>
            <m:chr m:val="‾"/>
          </m:accPr>
          <m:e>
            <m:r>
              <m:t>y</m:t>
            </m:r>
          </m:e>
        </m:acc>
      </m:oMath>
      <w:r>
        <w:t xml:space="preserve">,</w:t>
      </w:r>
      <w:r>
        <w:t xml:space="preserve"> </w:t>
      </w:r>
      <w:r>
        <w:t xml:space="preserve">so that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r>
              <m:t>i</m:t>
            </m:r>
          </m:sub>
          <m:sup>
            <m:r>
              <m:t>​</m:t>
            </m:r>
          </m:sup>
          <m:e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nary>
        <m:sSub>
          <m:e>
            <m:r>
              <m:t>b</m:t>
            </m:r>
          </m:e>
          <m:sub>
            <m:r>
              <m:t>i</m:t>
            </m:r>
          </m:sub>
        </m:sSub>
        <m:r>
          <m:rPr>
            <m:sty m:val="p"/>
          </m:rPr>
          <m:t>/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ad>
              <m:radPr>
                <m:degHide m:val="on"/>
              </m:radPr>
              <m:deg/>
              <m:e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i</m:t>
                    </m:r>
                  </m:sub>
                  <m:sup>
                    <m:r>
                      <m:t>​</m:t>
                    </m:r>
                  </m:sup>
                  <m:e>
                    <m:sSubSup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</m:e>
                </m:nary>
              </m:e>
            </m:rad>
            <m:rad>
              <m:radPr>
                <m:degHide m:val="on"/>
              </m:radPr>
              <m:deg/>
              <m:e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i</m:t>
                    </m:r>
                  </m:sub>
                  <m:sup>
                    <m:r>
                      <m:t>​</m:t>
                    </m:r>
                  </m:sup>
                  <m:e>
                    <m:sSubSup>
                      <m:e>
                        <m:r>
                          <m:t>b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</m:e>
                </m:nary>
              </m:e>
            </m:rad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Cauchy–Schwarz inequality states that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nary>
              <m:naryPr>
                <m:chr m:val="∑"/>
                <m:limLoc m:val="undOvr"/>
                <m:subHide m:val="off"/>
                <m:supHide m:val="on"/>
              </m:naryPr>
              <m:sub>
                <m:r>
                  <m:t>i</m:t>
                </m:r>
              </m:sub>
              <m:sup>
                <m:r>
                  <m:t>​</m:t>
                </m:r>
              </m:sup>
              <m:e>
                <m:sSub>
                  <m:e>
                    <m:r>
                      <m:t>a</m:t>
                    </m:r>
                  </m:e>
                  <m:sub>
                    <m:r>
                      <m:t>i</m:t>
                    </m:r>
                  </m:sub>
                </m:sSub>
              </m:e>
            </m:nary>
            <m:sSub>
              <m:e>
                <m:r>
                  <m:t>b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  <m:r>
          <m:rPr>
            <m:sty m:val="p"/>
          </m:rPr>
          <m:t>≤</m:t>
        </m:r>
        <m:rad>
          <m:radPr>
            <m:degHide m:val="on"/>
          </m:radPr>
          <m:deg/>
          <m:e>
            <m:nary>
              <m:naryPr>
                <m:chr m:val="∑"/>
                <m:limLoc m:val="undOvr"/>
                <m:subHide m:val="off"/>
                <m:supHide m:val="on"/>
              </m:naryPr>
              <m:sub>
                <m:r>
                  <m:t>i</m:t>
                </m:r>
              </m:sub>
              <m:sup>
                <m:r>
                  <m:t>​</m:t>
                </m:r>
              </m:sup>
              <m:e>
                <m:sSubSup>
                  <m:e>
                    <m:r>
                      <m:t>a</m:t>
                    </m:r>
                  </m:e>
                  <m:sub>
                    <m:r>
                      <m:t>i</m:t>
                    </m:r>
                  </m:sub>
                  <m:sup>
                    <m:r>
                      <m:t>2</m:t>
                    </m:r>
                  </m:sup>
                </m:sSubSup>
              </m:e>
            </m:nary>
          </m:e>
        </m:rad>
        <m:rad>
          <m:radPr>
            <m:degHide m:val="on"/>
          </m:radPr>
          <m:deg/>
          <m:e>
            <m:nary>
              <m:naryPr>
                <m:chr m:val="∑"/>
                <m:limLoc m:val="undOvr"/>
                <m:subHide m:val="off"/>
                <m:supHide m:val="on"/>
              </m:naryPr>
              <m:sub>
                <m:r>
                  <m:t>i</m:t>
                </m:r>
              </m:sub>
              <m:sup>
                <m:r>
                  <m:t>​</m:t>
                </m:r>
              </m:sup>
              <m:e>
                <m:sSubSup>
                  <m:e>
                    <m:r>
                      <m:t>b</m:t>
                    </m:r>
                  </m:e>
                  <m:sub>
                    <m:r>
                      <m:t>i</m:t>
                    </m:r>
                  </m:sub>
                  <m:sup>
                    <m:r>
                      <m:t>2</m:t>
                    </m:r>
                  </m:sup>
                </m:sSubSup>
              </m:e>
            </m:nary>
          </m:e>
        </m:rad>
      </m:oMath>
      <w:r>
        <w:t xml:space="preserve">,</w:t>
      </w:r>
      <w:r>
        <w:t xml:space="preserve"> </w:t>
      </w:r>
      <w:r>
        <w:t xml:space="preserve">with equality if and only if one of the vectors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b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 a scalar multiple of the other.</w:t>
      </w:r>
      <w:r>
        <w:t xml:space="preserve"> </w:t>
      </w:r>
      <w:r>
        <w:t xml:space="preserve">Dividing both sides by the (positive) right-hand side gives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r</m:t>
            </m:r>
          </m:e>
        </m:d>
        <m:r>
          <m:t>​</m:t>
        </m:r>
        <m:r>
          <m:rPr>
            <m:sty m:val="p"/>
          </m:rPr>
          <m:t>≤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Equality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r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therefore holds</w:t>
      </w:r>
      <w:r>
        <w:t xml:space="preserve"> </w:t>
      </w:r>
      <w:r>
        <w:t xml:space="preserve">if and only if</w:t>
      </w:r>
      <w:r>
        <w:t xml:space="preserve"> </w:t>
      </w:r>
      <m:oMath>
        <m:sSub>
          <m:e>
            <m:r>
              <m:t>b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c</m:t>
        </m:r>
        <m:r>
          <m:t> </m:t>
        </m:r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for some constant</w:t>
      </w:r>
      <w:r>
        <w:t xml:space="preserve"> </w:t>
      </w:r>
      <m:oMath>
        <m:r>
          <m:t>c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and every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w:r>
        <w:t xml:space="preserve">that is,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acc>
          <m:accPr>
            <m:chr m:val="‾"/>
          </m:accPr>
          <m:e>
            <m:r>
              <m:t>y</m:t>
            </m:r>
          </m:e>
        </m:acc>
        <m:r>
          <m:rPr>
            <m:sty m:val="p"/>
          </m:rPr>
          <m:t>+</m:t>
        </m:r>
        <m:r>
          <m:t>c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the points lie on a line with slope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i</m:t>
            </m:r>
          </m:sub>
          <m:sup>
            <m:r>
              <m:t>​</m:t>
            </m:r>
          </m:sup>
          <m:e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nary>
        <m:sSub>
          <m:e>
            <m:r>
              <m:t>b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c</m:t>
        </m:r>
        <m:nary>
          <m:naryPr>
            <m:chr m:val="∑"/>
            <m:limLoc m:val="undOvr"/>
            <m:subHide m:val="off"/>
            <m:supHide m:val="on"/>
          </m:naryPr>
          <m:sub>
            <m:r>
              <m:t>i</m:t>
            </m:r>
          </m:sub>
          <m:sup>
            <m:r>
              <m:t>​</m:t>
            </m:r>
          </m:sup>
          <m:e>
            <m:sSubSup>
              <m:e>
                <m:r>
                  <m:t>a</m:t>
                </m:r>
              </m:e>
              <m:sub>
                <m:r>
                  <m:t>i</m:t>
                </m:r>
              </m:sub>
              <m:sup>
                <m:r>
                  <m:t>2</m:t>
                </m:r>
              </m:sup>
            </m:sSubSup>
          </m:e>
        </m:nary>
      </m:oMath>
      <w:r>
        <w:t xml:space="preserve"> </w:t>
      </w:r>
      <w:r>
        <w:t xml:space="preserve">has the sign of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c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bookmarkStart w:id="76" w:name="exm-pearson-r"/>
    <w:p>
      <w:pPr>
        <w:pStyle w:val="BodyText"/>
      </w:pPr>
      <w:r>
        <w:rPr>
          <w:b/>
          <w:bCs/>
        </w:rPr>
        <w:t xml:space="preserve">Example 6 (Correlation between cholesterol and blood pressure in the WCGS)</w:t>
      </w:r>
      <w:r>
        <w:t xml:space="preserve"> </w:t>
      </w:r>
      <w:r>
        <w:t xml:space="preserve"> </w:t>
      </w:r>
    </w:p>
    <w:p>
      <w:pPr>
        <w:pStyle w:val="SourceCode"/>
      </w:pPr>
      <w:r>
        <w:rPr>
          <w:rStyle w:val="FunctionTok"/>
        </w:rPr>
        <w:t xml:space="preserve">cor</w:t>
      </w:r>
      <w:r>
        <w:rPr>
          <w:rStyle w:val="NormalTok"/>
        </w:rPr>
        <w:t xml:space="preserve">(wcgs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chol, wcgs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sbp, </w:t>
      </w:r>
      <w:r>
        <w:rPr>
          <w:rStyle w:val="AttributeTok"/>
        </w:rPr>
        <w:t xml:space="preserve">use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"complete.obs"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[1] 0.123061</w:t>
      </w:r>
    </w:p>
    <w:p>
      <w:pPr>
        <w:pStyle w:val="FirstParagraph"/>
      </w:pPr>
      <w:r>
        <w:t xml:space="preserve">The correlation is positive but small:</w:t>
      </w:r>
      <w:r>
        <w:t xml:space="preserve"> </w:t>
      </w:r>
      <w:r>
        <w:t xml:space="preserve">cholesterol tends to be slightly higher in participants with higher</w:t>
      </w:r>
      <w:r>
        <w:t xml:space="preserve"> </w:t>
      </w:r>
      <w:r>
        <w:t xml:space="preserve">systolic blood pressure,</w:t>
      </w:r>
      <w:r>
        <w:t xml:space="preserve"> </w:t>
      </w:r>
      <w:r>
        <w:t xml:space="preserve">consistent with the shallow slope and wide scatter</w:t>
      </w:r>
      <w:r>
        <w:t xml:space="preserve"> </w:t>
      </w:r>
      <w:r>
        <w:t xml:space="preserve">in</w:t>
      </w:r>
      <w:r>
        <w:t xml:space="preserve"> </w:t>
      </w:r>
      <w:hyperlink w:anchor="fig-scatter-chol-sbp">
        <w:r>
          <w:rPr>
            <w:rStyle w:val="Hyperlink"/>
          </w:rPr>
          <w:t xml:space="preserve">Figure 6</w:t>
        </w:r>
      </w:hyperlink>
      <w:r>
        <w:t xml:space="preserve">.</w:t>
      </w:r>
    </w:p>
    <w:bookmarkEnd w:id="76"/>
    <w:tbl>
      <w:tblPr>
        <w:tblStyle w:val="Table"/>
        <w:tblLook w:firstRow="0" w:lastRow="0" w:firstColumn="0" w:lastColumn="0" w:noHBand="0" w:noVBand="0" w:val="0000"/>
        <w:tblBorders>
          <w:top w:val="single" w:sz="4" w:space="0" w:color="FC5300"/>
          <w:left w:val="single" w:sz="24" w:space="0" w:color="FC5300"/>
          <w:bottom w:val="single" w:sz="4" w:space="0" w:color="FC5300"/>
          <w:right w:val="single" w:sz="4" w:space="0" w:color="FC530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fe5d0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caution.png" id="7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Correlation measures linear association only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Two variables can be strongly related</w:t>
            </w:r>
            <w:r>
              <w:t xml:space="preserve"> </w:t>
            </w:r>
            <w:r>
              <w:t xml:space="preserve">and still have a correlation near zero,</w:t>
            </w:r>
            <w:r>
              <w:t xml:space="preserve"> </w:t>
            </w:r>
            <w:r>
              <w:t xml:space="preserve">if the relationship is not linear.</w:t>
            </w:r>
            <w:r>
              <w:t xml:space="preserve"> </w:t>
            </w:r>
            <w:r>
              <w:t xml:space="preserve">For example, if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Sup>
                <m:e>
                  <m:r>
                    <m:t>x</m:t>
                  </m:r>
                </m:e>
                <m:sub>
                  <m:r>
                    <m:t>i</m:t>
                  </m:r>
                </m:sub>
                <m:sup>
                  <m:r>
                    <m:t>2</m:t>
                  </m:r>
                </m:sup>
              </m:sSubSup>
            </m:oMath>
            <w:r>
              <w:t xml:space="preserve">, the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are symmetric around 0,</w:t>
            </w:r>
            <w:r>
              <w:t xml:space="preserve"> </w:t>
            </w:r>
            <w:r>
              <w:t xml:space="preserve">and the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are not all equal,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although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a function of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Correlation also does not imply causation.</w:t>
            </w:r>
          </w:p>
          <w:p/>
        </w:tc>
      </w:tr>
    </w:tbl>
    <w:bookmarkEnd w:id="80"/>
    <w:bookmarkStart w:id="90" w:name="X276b94a7d03810956e9ce51874e5dad5aed6d75"/>
    <w:p>
      <w:pPr>
        <w:pStyle w:val="Heading3"/>
      </w:pPr>
      <w:r>
        <w:t xml:space="preserve">4.2 A continuous variable by a categorical variable</w:t>
      </w:r>
    </w:p>
    <w:p>
      <w:pPr>
        <w:pStyle w:val="FirstParagraph"/>
      </w:pPr>
      <w:r>
        <w:t xml:space="preserve">Side-by-side</w:t>
      </w:r>
      <w:r>
        <w:t xml:space="preserve"> </w:t>
      </w:r>
      <w:hyperlink w:anchor="def-boxplot">
        <w:r>
          <w:rPr>
            <w:rStyle w:val="Hyperlink"/>
          </w:rPr>
          <w:t xml:space="preserve">box plots</w:t>
        </w:r>
      </w:hyperlink>
      <w:r>
        <w:t xml:space="preserve"> </w:t>
      </w:r>
      <w:r>
        <w:t xml:space="preserve">compare the distribution of a</w:t>
      </w:r>
      <w:r>
        <w:t xml:space="preserve"> </w:t>
      </w:r>
      <w:r>
        <w:t xml:space="preserve">continuous variable across the groups defined by a categorical variable</w:t>
      </w:r>
      <w:r>
        <w:t xml:space="preserve"> </w:t>
      </w:r>
      <w:r>
        <w:t xml:space="preserve">(</w:t>
      </w:r>
      <w:hyperlink w:anchor="fig-box-chol-by-smoke">
        <w:r>
          <w:rPr>
            <w:rStyle w:val="Hyperlink"/>
          </w:rPr>
          <w:t xml:space="preserve">Figure 7</w:t>
        </w:r>
      </w:hyperlink>
      <w:r>
        <w:t xml:space="preserve"> </w:t>
      </w:r>
      <w:r>
        <w:t xml:space="preserve">and</w:t>
      </w:r>
      <w:r>
        <w:t xml:space="preserve"> </w:t>
      </w:r>
      <w:hyperlink w:anchor="fig-box-chol-by-behpat">
        <w:r>
          <w:rPr>
            <w:rStyle w:val="Hyperlink"/>
          </w:rPr>
          <w:t xml:space="preserve">Figure 8</w:t>
        </w:r>
      </w:hyperlink>
      <w:r>
        <w:t xml:space="preserve">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4" w:name="fig-box-chol-by-smoke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wcgs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smoke,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chol, </w:t>
            </w:r>
            <w:r>
              <w:rPr>
                <w:rStyle w:val="AttributeTok"/>
              </w:rPr>
              <w:t xml:space="preserve">fill =</w:t>
            </w:r>
            <w:r>
              <w:rPr>
                <w:rStyle w:val="NormalTok"/>
              </w:rPr>
              <w:t xml:space="preserve"> smoke)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geom_boxplot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"Current smoker"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"Cholesterol (mg/dL)"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"none"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82" name="Picture"/>
                  <a:graphic>
                    <a:graphicData uri="http://schemas.openxmlformats.org/drawingml/2006/picture">
                      <pic:pic>
                        <pic:nvPicPr>
                          <pic:cNvPr descr="exploratory-descriptive_files/figure-docx/unnamed-chunk-14-1.png" id="8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7: Box plots of cholesterol by smoking status in the WCGS dataset</w:t>
            </w:r>
          </w:p>
          <w:bookmarkEnd w:id="84"/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8" w:name="fig-box-chol-by-behpat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wcgs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behpat,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chol, </w:t>
            </w:r>
            <w:r>
              <w:rPr>
                <w:rStyle w:val="AttributeTok"/>
              </w:rPr>
              <w:t xml:space="preserve">fill =</w:t>
            </w:r>
            <w:r>
              <w:rPr>
                <w:rStyle w:val="NormalTok"/>
              </w:rPr>
              <w:t xml:space="preserve"> behpat)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geom_boxplot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"Behavioral pattern"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"Cholesterol (mg/dL)"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"none"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86" name="Picture"/>
                  <a:graphic>
                    <a:graphicData uri="http://schemas.openxmlformats.org/drawingml/2006/picture">
                      <pic:pic>
                        <pic:nvPicPr>
                          <pic:cNvPr descr="exploratory-descriptive_files/figure-docx/unnamed-chunk-15-1.png" id="8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8: Box plots of cholesterol by behavioral pattern in the WCGS dataset</w:t>
            </w:r>
          </w:p>
          <w:bookmarkEnd w:id="88"/>
        </w:tc>
      </w:tr>
    </w:tbl>
    <w:p>
      <w:pPr>
        <w:pStyle w:val="BodyText"/>
      </w:pPr>
      <w:hyperlink w:anchor="tbl-chol-by-chd">
        <w:r>
          <w:rPr>
            <w:rStyle w:val="Hyperlink"/>
          </w:rPr>
          <w:t xml:space="preserve">Table 3</w:t>
        </w:r>
      </w:hyperlink>
      <w:r>
        <w:t xml:space="preserve"> </w:t>
      </w:r>
      <w:r>
        <w:t xml:space="preserve">computes summary statistics separately for each group.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9" w:name="tbl-chol-by-chd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3: Cholesterol, systolic blood pressure, and BMI by CHD status in the WCGS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wcgs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select</w:t>
            </w:r>
            <w:r>
              <w:rPr>
                <w:rStyle w:val="NormalTok"/>
              </w:rPr>
              <w:t xml:space="preserve">(chol, sbp, bmi, chd69)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gtsummary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tbl_summary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by =</w:t>
            </w:r>
            <w:r>
              <w:rPr>
                <w:rStyle w:val="NormalTok"/>
              </w:rPr>
              <w:t xml:space="preserve"> chd69,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statistic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gtsummary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all_continuous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~</w:t>
            </w:r>
            <w:r>
              <w:br/>
            </w:r>
            <w:r>
              <w:rPr>
                <w:rStyle w:val="NormalTok"/>
              </w:rPr>
              <w:t xml:space="preserve">        </w:t>
            </w:r>
            <w:r>
              <w:rPr>
                <w:rStyle w:val="StringTok"/>
              </w:rPr>
              <w:t xml:space="preserve">"{mean} ({sd})"</w:t>
            </w:r>
            <w:r>
              <w:br/>
            </w:r>
            <w:r>
              <w:rPr>
                <w:rStyle w:val="NormalTok"/>
              </w:rPr>
              <w:t xml:space="preserve">    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digits =</w:t>
            </w:r>
            <w:r>
              <w:rPr>
                <w:rStyle w:val="NormalTok"/>
              </w:rPr>
              <w:t xml:space="preserve"> gtsummary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all_continuous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gtsummary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add_overall</w:t>
            </w:r>
            <w:r>
              <w:rPr>
                <w:rStyle w:val="NormalTok"/>
              </w:rPr>
              <w:t xml:space="preserve">()</w:t>
            </w:r>
          </w:p>
      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<w:tblPr>
              <w:tblCellMar>
                <w:top w:w="0" w:type="dxa"/>
                <w:bottom w:w="0" w:type="dxa"/>
                <w:start w:w="60" w:type="dxa"/>
                <w:end w:w="60" w:type="dxa"/>
              </w:tblCellMar>
              <w:tblW w:type="auto" w:w="0"/>
              <w:tblLook w:firstRow="0" w:lastRow="0" w:firstColumn="0" w:lastColumn="0" w:noHBand="0" w:noVBand="0"/>
              <w:jc w:val="center"/>
            </w:tblPr>
            <w:tr>
              <w:trPr>
                <w:cantSplit/>
                <w:tblHeader/>
              </w:trPr>
              <w:tc>
                <w:tcPr>
                  <w:tcBorders>
                    <w:top w:val="single" w:sz="16" w:space="0" w:color="D3D3D3"/>
                    <w:bottom w:val="single" w:sz="16" w:space="0" w:color="D3D3D3"/>
                    <w:start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Characteristic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Overall</w:t>
                  </w:r>
                  <w:r>
                    <w:rPr>
                      <w:rFonts w:ascii="Calibri" w:hAnsi="Calibri"/>
                      <w:sz w:val="20"/>
                    </w:rPr>
                    <w:t xml:space="preserve"/>
                  </w:r>
                  <w:r xmlns:w="http://schemas.openxmlformats.org/wordprocessingml/2006/main"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 xml:space="preserve">N = 3,154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No</w:t>
                  </w:r>
                  <w:r>
                    <w:rPr>
                      <w:rFonts w:ascii="Calibri" w:hAnsi="Calibri"/>
                      <w:sz w:val="20"/>
                    </w:rPr>
                    <w:t xml:space="preserve"/>
                  </w:r>
                  <w:r xmlns:w="http://schemas.openxmlformats.org/wordprocessingml/2006/main"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 xml:space="preserve">N = 2,897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Yes</w:t>
                  </w:r>
                  <w:r>
                    <w:rPr>
                      <w:rFonts w:ascii="Calibri" w:hAnsi="Calibri"/>
                      <w:sz w:val="20"/>
                    </w:rPr>
                    <w:t xml:space="preserve"/>
                  </w:r>
                  <w:r xmlns:w="http://schemas.openxmlformats.org/wordprocessingml/2006/main"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 xml:space="preserve">N = 257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Cholesterol (mg/dL)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226.4 (43.4)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224.3 (42.2)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250.1 (49.4)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Unknown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12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12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0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Systolic BP (mmHg)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128.6 (15.1)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128.0 (14.7)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135.4 (17.5)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BMI (kg/m^2)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24.5 (2.6)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24.5 (2.6)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25.1 (2.6)</w:t>
                  </w:r>
                </w:p>
              </w:tc>
            </w:tr>
            <w:tr>
              <w:trPr>
                <w:cantSplit/>
              </w:trPr>
              <w:tc>
                <w:tcPr>
                  <w:gridSpan w:val="4"/>
                </w:tcPr>
                <w:p>
                  <w:pPr>
                    <w:spacing w:before="0" w:after="60"/>
                    <w:keepNext/>
                  </w:pP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  <w:r>
                    <w:rPr>
                      <w:rFonts w:ascii="Calibri" w:hAnsi="Calibri"/>
                      <w:sz w:val="20"/>
                    </w:rPr>
                    <w:t xml:space="preserve">Mean (SD)</w:t>
                  </w:r>
                </w:p>
              </w:tc>
            </w:tr>
          </w:tbl>
          <w:bookmarkEnd w:id="89"/>
        </w:tc>
      </w:tr>
    </w:tbl>
    <w:bookmarkEnd w:id="90"/>
    <w:bookmarkStart w:id="94" w:name="two-categorical-variables"/>
    <w:p>
      <w:pPr>
        <w:pStyle w:val="Heading3"/>
      </w:pPr>
      <w:r>
        <w:t xml:space="preserve">4.3 Two categorical variables</w:t>
      </w:r>
    </w:p>
    <w:bookmarkStart w:id="91" w:name="def-contingency-table"/>
    <w:p>
      <w:pPr>
        <w:pStyle w:val="FirstParagraph"/>
      </w:pPr>
      <w:r>
        <w:rPr>
          <w:b/>
          <w:bCs/>
        </w:rPr>
        <w:t xml:space="preserve">Definition 15 (Contingency table)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contingency table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cross-tabulation</w:t>
      </w:r>
      <w:r>
        <w:t xml:space="preserve">) displays</w:t>
      </w:r>
      <w:r>
        <w:t xml:space="preserve"> </w:t>
      </w:r>
      <w:r>
        <w:t xml:space="preserve">the joint frequencies of two categorical variables:</w:t>
      </w:r>
      <w:r>
        <w:t xml:space="preserve"> </w:t>
      </w:r>
      <w:r>
        <w:t xml:space="preserve">each cell counts the observations with one combination of categories.</w:t>
      </w:r>
      <w:r>
        <w:t xml:space="preserve"> </w:t>
      </w:r>
      <w:r>
        <w:t xml:space="preserve">For two binary variables,</w:t>
      </w:r>
      <w:r>
        <w:t xml:space="preserve"> </w:t>
      </w:r>
      <w:r>
        <w:t xml:space="preserve">the contingency table is a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table with cells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, and</w:t>
      </w:r>
      <w:r>
        <w:t xml:space="preserve"> </w:t>
      </w:r>
      <m:oMath>
        <m:r>
          <m:t>d</m:t>
        </m:r>
      </m:oMath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Outcome = 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Outcome = 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Exposure = 1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a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b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a</m:t>
              </m:r>
              <m:r>
                <m:rPr>
                  <m:sty m:val="p"/>
                </m:rPr>
                <m:t>+</m:t>
              </m:r>
              <m:r>
                <m:t>b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Exposure = 0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d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c</m:t>
              </m:r>
              <m:r>
                <m:rPr>
                  <m:sty m:val="p"/>
                </m:rPr>
                <m:t>+</m:t>
              </m:r>
              <m:r>
                <m:t>d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a</m:t>
              </m:r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b</m:t>
              </m:r>
              <m:r>
                <m:rPr>
                  <m:sty m:val="p"/>
                </m:rPr>
                <m:t>+</m:t>
              </m:r>
              <m:r>
                <m:t>d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n</m:t>
              </m:r>
            </m:oMath>
            <w:r>
              <w:t xml:space="preserve">​</w:t>
            </w:r>
          </w:p>
        </w:tc>
      </w:tr>
    </w:tbl>
    <w:bookmarkEnd w:id="91"/>
    <w:bookmarkStart w:id="93" w:name="exm-contingency-table"/>
    <w:p>
      <w:pPr>
        <w:pStyle w:val="BodyText"/>
      </w:pPr>
      <w:r>
        <w:rPr>
          <w:b/>
          <w:bCs/>
        </w:rPr>
        <w:t xml:space="preserve">Example 7 (Smoking and CHD in the WCGS)</w:t>
      </w:r>
      <w:r>
        <w:t xml:space="preserve"> </w:t>
      </w:r>
      <w:r>
        <w:t xml:space="preserve"> </w:t>
      </w:r>
    </w:p>
    <w:p>
      <w:pPr>
        <w:pStyle w:val="SourceCode"/>
      </w:pPr>
      <w:r>
        <w:rPr>
          <w:rStyle w:val="FunctionTok"/>
        </w:rPr>
        <w:t xml:space="preserve">table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Smoking =</w:t>
      </w:r>
      <w:r>
        <w:rPr>
          <w:rStyle w:val="NormalTok"/>
        </w:rPr>
        <w:t xml:space="preserve"> wcgs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smoke, </w:t>
      </w:r>
      <w:r>
        <w:rPr>
          <w:rStyle w:val="AttributeTok"/>
        </w:rPr>
        <w:t xml:space="preserve">CHD =</w:t>
      </w:r>
      <w:r>
        <w:rPr>
          <w:rStyle w:val="NormalTok"/>
        </w:rPr>
        <w:t xml:space="preserve"> wcgs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chd69)</w:t>
      </w:r>
      <w:r>
        <w:br/>
      </w:r>
      <w:r>
        <w:rPr>
          <w:rStyle w:val="CommentTok"/>
        </w:rPr>
        <w:t xml:space="preserve">#&gt;        CHD</w:t>
      </w:r>
      <w:r>
        <w:br/>
      </w:r>
      <w:r>
        <w:rPr>
          <w:rStyle w:val="CommentTok"/>
        </w:rPr>
        <w:t xml:space="preserve">#&gt; Smoking   No  Yes</w:t>
      </w:r>
      <w:r>
        <w:br/>
      </w:r>
      <w:r>
        <w:rPr>
          <w:rStyle w:val="CommentTok"/>
        </w:rPr>
        <w:t xml:space="preserve">#&gt;     No  1554   98</w:t>
      </w:r>
      <w:r>
        <w:br/>
      </w:r>
      <w:r>
        <w:rPr>
          <w:rStyle w:val="CommentTok"/>
        </w:rPr>
        <w:t xml:space="preserve">#&gt;     Yes 1343  159</w:t>
      </w:r>
    </w:p>
    <w:p>
      <w:pPr>
        <w:pStyle w:val="FirstParagraph"/>
      </w:pPr>
      <w:r>
        <w:t xml:space="preserve">Row proportions give the distribution of CHD status</w:t>
      </w:r>
      <w:r>
        <w:t xml:space="preserve"> </w:t>
      </w:r>
      <w:r>
        <w:t xml:space="preserve">within each smoking group:</w:t>
      </w:r>
    </w:p>
    <w:p>
      <w:pPr>
        <w:pStyle w:val="SourceCode"/>
      </w:pPr>
      <w:r>
        <w:rPr>
          <w:rStyle w:val="FunctionTok"/>
        </w:rPr>
        <w:t xml:space="preserve">table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Smoking =</w:t>
      </w:r>
      <w:r>
        <w:rPr>
          <w:rStyle w:val="NormalTok"/>
        </w:rPr>
        <w:t xml:space="preserve"> wcgs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smoke, </w:t>
      </w:r>
      <w:r>
        <w:rPr>
          <w:rStyle w:val="AttributeTok"/>
        </w:rPr>
        <w:t xml:space="preserve">CHD =</w:t>
      </w:r>
      <w:r>
        <w:rPr>
          <w:rStyle w:val="NormalTok"/>
        </w:rPr>
        <w:t xml:space="preserve"> wcgs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chd69)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prop.table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margin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 CHD</w:t>
      </w:r>
      <w:r>
        <w:br/>
      </w:r>
      <w:r>
        <w:rPr>
          <w:rStyle w:val="CommentTok"/>
        </w:rPr>
        <w:t xml:space="preserve">#&gt; Smoking       No      Yes</w:t>
      </w:r>
      <w:r>
        <w:br/>
      </w:r>
      <w:r>
        <w:rPr>
          <w:rStyle w:val="CommentTok"/>
        </w:rPr>
        <w:t xml:space="preserve">#&gt;     No  0.940678 0.059322</w:t>
      </w:r>
      <w:r>
        <w:br/>
      </w:r>
      <w:r>
        <w:rPr>
          <w:rStyle w:val="CommentTok"/>
        </w:rPr>
        <w:t xml:space="preserve">#&gt;     Yes 0.894141 0.105859</w:t>
      </w:r>
    </w:p>
    <w:p>
      <w:pPr>
        <w:pStyle w:val="FirstParagraph"/>
      </w:pPr>
      <w:hyperlink w:anchor="tbl-gtsummary-smoke-chd">
        <w:r>
          <w:rPr>
            <w:rStyle w:val="Hyperlink"/>
          </w:rPr>
          <w:t xml:space="preserve">Table 4</w:t>
        </w:r>
      </w:hyperlink>
      <w:r>
        <w:t xml:space="preserve"> </w:t>
      </w:r>
      <w:r>
        <w:t xml:space="preserve">shows the same counts</w:t>
      </w:r>
      <w:r>
        <w:t xml:space="preserve"> </w:t>
      </w:r>
      <w:r>
        <w:t xml:space="preserve">as a formatted table.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2" w:name="tbl-gtsummary-smoke-chd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4: Smoking status and CHD event in the WCGS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wcgs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select</w:t>
            </w:r>
            <w:r>
              <w:rPr>
                <w:rStyle w:val="NormalTok"/>
              </w:rPr>
              <w:t xml:space="preserve">(smoke, chd69)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gtsummary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tbl_summary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by =</w:t>
            </w:r>
            <w:r>
              <w:rPr>
                <w:rStyle w:val="NormalTok"/>
              </w:rPr>
              <w:t xml:space="preserve"> chd69)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gtsummary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add_overall</w:t>
            </w:r>
            <w:r>
              <w:rPr>
                <w:rStyle w:val="NormalTok"/>
              </w:rPr>
              <w:t xml:space="preserve">()</w:t>
            </w:r>
          </w:p>
      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<w:tblPr>
              <w:tblCellMar>
                <w:top w:w="0" w:type="dxa"/>
                <w:bottom w:w="0" w:type="dxa"/>
                <w:start w:w="60" w:type="dxa"/>
                <w:end w:w="60" w:type="dxa"/>
              </w:tblCellMar>
              <w:tblW w:type="auto" w:w="0"/>
              <w:tblLook w:firstRow="0" w:lastRow="0" w:firstColumn="0" w:lastColumn="0" w:noHBand="0" w:noVBand="0"/>
              <w:jc w:val="center"/>
            </w:tblPr>
            <w:tr>
              <w:trPr>
                <w:cantSplit/>
                <w:tblHeader/>
              </w:trPr>
              <w:tc>
                <w:tcPr>
                  <w:tcBorders>
                    <w:top w:val="single" w:sz="16" w:space="0" w:color="D3D3D3"/>
                    <w:bottom w:val="single" w:sz="16" w:space="0" w:color="D3D3D3"/>
                    <w:start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Characteristic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Overall</w:t>
                  </w:r>
                  <w:r>
                    <w:rPr>
                      <w:rFonts w:ascii="Calibri" w:hAnsi="Calibri"/>
                      <w:sz w:val="20"/>
                    </w:rPr>
                    <w:t xml:space="preserve"/>
                  </w:r>
                  <w:r xmlns:w="http://schemas.openxmlformats.org/wordprocessingml/2006/main"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 xml:space="preserve">N = 3,154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No</w:t>
                  </w:r>
                  <w:r>
                    <w:rPr>
                      <w:rFonts w:ascii="Calibri" w:hAnsi="Calibri"/>
                      <w:sz w:val="20"/>
                    </w:rPr>
                    <w:t xml:space="preserve"/>
                  </w:r>
                  <w:r xmlns:w="http://schemas.openxmlformats.org/wordprocessingml/2006/main"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 xml:space="preserve">N = 2,897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Yes</w:t>
                  </w:r>
                  <w:r>
                    <w:rPr>
                      <w:rFonts w:ascii="Calibri" w:hAnsi="Calibri"/>
                      <w:sz w:val="20"/>
                    </w:rPr>
                    <w:t xml:space="preserve"/>
                  </w:r>
                  <w:r xmlns:w="http://schemas.openxmlformats.org/wordprocessingml/2006/main"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 xml:space="preserve">N = 257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Current smoker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1,502 (48%)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1,343 (46%)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159 (62%)</w:t>
                  </w:r>
                </w:p>
              </w:tc>
            </w:tr>
            <w:tr>
              <w:trPr>
                <w:cantSplit/>
              </w:trPr>
              <w:tc>
                <w:tcPr>
                  <w:gridSpan w:val="4"/>
                </w:tcPr>
                <w:p>
                  <w:pPr>
                    <w:spacing w:before="0" w:after="60"/>
                    <w:keepNext/>
                  </w:pP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  <w:r>
                    <w:rPr>
                      <w:rFonts w:ascii="Calibri" w:hAnsi="Calibri"/>
                      <w:sz w:val="20"/>
                    </w:rPr>
                    <w:t xml:space="preserve">n (%)</w:t>
                  </w:r>
                </w:p>
              </w:tc>
            </w:tr>
          </w:tbl>
          <w:bookmarkEnd w:id="92"/>
        </w:tc>
      </w:tr>
    </w:tbl>
    <w:bookmarkEnd w:id="93"/>
    <w:bookmarkEnd w:id="94"/>
    <w:bookmarkEnd w:id="95"/>
    <w:bookmarkStart w:id="105" w:name="data-transformations"/>
    <w:p>
      <w:pPr>
        <w:pStyle w:val="Heading2"/>
      </w:pPr>
      <w:r>
        <w:t xml:space="preserve">5 Data transformations</w:t>
      </w:r>
    </w:p>
    <w:p>
      <w:pPr>
        <w:pStyle w:val="FirstParagraph"/>
      </w:pPr>
      <w:r>
        <w:t xml:space="preserve">When a continuous variable has a right-skewed distribution</w:t>
      </w:r>
      <w:r>
        <w:t xml:space="preserve"> </w:t>
      </w:r>
      <w:r>
        <w:t xml:space="preserve">(a longer tail to the right than to the left),</w:t>
      </w:r>
      <w:r>
        <w:t xml:space="preserve"> </w:t>
      </w:r>
      <w:r>
        <w:t xml:space="preserve">a logarithmic transformation often makes the distribution</w:t>
      </w:r>
      <w:r>
        <w:t xml:space="preserve"> </w:t>
      </w:r>
      <w:r>
        <w:t xml:space="preserve">more symmetric.</w:t>
      </w:r>
      <w:r>
        <w:t xml:space="preserve"> </w:t>
      </w:r>
      <w:r>
        <w:t xml:space="preserve">A log-transformed variable also has a multiplicative interpretation:</w:t>
      </w:r>
      <w:r>
        <w:t xml:space="preserve"> </w:t>
      </w:r>
      <w:r>
        <w:t xml:space="preserve">an increase of 1 in</w:t>
      </w:r>
      <w:r>
        <w:t xml:space="preserve"> </w:t>
      </w:r>
      <m:oMath>
        <m:r>
          <m:rPr>
            <m:sty m:val="p"/>
          </m:rPr>
          <m:t>log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corresponds to multiplying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e</m:t>
        </m:r>
        <m:r>
          <m:rPr>
            <m:sty m:val="p"/>
          </m:rPr>
          <m:t>≈</m:t>
        </m:r>
        <m:r>
          <m:t>2.72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p"/>
          </m:rPr>
          <m:t>log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log</m:t>
        </m:r>
        <m:r>
          <m:rPr>
            <m:sty m:val="p"/>
          </m:rPr>
          <m:t>(</m:t>
        </m:r>
        <m:r>
          <m:t>e</m:t>
        </m:r>
        <m:r>
          <m:rPr>
            <m:sty m:val="p"/>
          </m:rPr>
          <m:t>⋅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The WCGS dataset already contains log-transformed versions</w:t>
      </w:r>
      <w:r>
        <w:t xml:space="preserve"> </w:t>
      </w:r>
      <w:r>
        <w:t xml:space="preserve">of two variables: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lnsbp</w:t>
      </w:r>
      <w:r>
        <w:t xml:space="preserve">:</w:t>
      </w:r>
      <w:r>
        <w:t xml:space="preserve"> </w:t>
      </w:r>
      <m:oMath>
        <m:r>
          <m:rPr>
            <m:sty m:val="p"/>
          </m:rPr>
          <m:t>log</m:t>
        </m:r>
        <m:r>
          <m:rPr>
            <m:sty m:val="p"/>
          </m:rPr>
          <m:t>(</m:t>
        </m:r>
        <m:r>
          <m:rPr>
            <m:nor/>
            <m:sty m:val="p"/>
          </m:rPr>
          <m:t>SBP</m:t>
        </m:r>
        <m:r>
          <m:rPr>
            <m:sty m:val="p"/>
          </m:rPr>
          <m:t>)</m:t>
        </m:r>
      </m:oMath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lnwght</w:t>
      </w:r>
      <w:r>
        <w:t xml:space="preserve">:</w:t>
      </w:r>
      <w:r>
        <w:t xml:space="preserve"> </w:t>
      </w:r>
      <m:oMath>
        <m:r>
          <m:rPr>
            <m:sty m:val="p"/>
          </m:rPr>
          <m:t>log</m:t>
        </m:r>
        <m:r>
          <m:rPr>
            <m:sty m:val="p"/>
          </m:rPr>
          <m:t>(</m:t>
        </m:r>
        <m:r>
          <m:rPr>
            <m:nor/>
            <m:sty m:val="p"/>
          </m:rPr>
          <m:t>weight</m:t>
        </m:r>
        <m:r>
          <m:rPr>
            <m:sty m:val="p"/>
          </m:rPr>
          <m:t>)</m:t>
        </m:r>
      </m:oMath>
      <w:r>
        <w:t xml:space="preserve">.</w:t>
      </w:r>
    </w:p>
    <w:bookmarkStart w:id="104" w:name="fig-hist-sbp-log"/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3880"/>
        <w:gridCol w:w="3880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99" w:name="fig-hist-sbp-raw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NormalTok"/>
                    </w:rPr>
                    <w:t xml:space="preserve">wcgs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ggplot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sbp)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geom_histogram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bins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30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fill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"steelblue"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"white"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labs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"Systolic BP (mmHg)"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"Count"</w:t>
                  </w:r>
                  <w:r>
                    <w:rPr>
                      <w:rStyle w:val="NormalTok"/>
                    </w:rPr>
                    <w:t xml:space="preserve">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97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exploratory-descriptive_files/figure-docx/unnamed-chunk-18-1.png" id="98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9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(a) Raw scale</w:t>
                  </w:r>
                </w:p>
                <w:bookmarkEnd w:id="99"/>
              </w:tc>
            </w:tr>
          </w:tbl>
          <w:p/>
        </w:tc>
        <w:tc>
          <w:tcPr/>
          <w:p>
            <w:pPr>
              <w:jc w:val="left"/>
            </w:pPr>
            <w:r>
              <w:t xml:space="preserve"> </w:t>
            </w:r>
          </w:p>
        </w:tc>
      </w:tr>
    </w:tbl>
    <w:p>
      <w:pPr>
        <w:framePr w:w="0" w:h="0" w:vAnchor="margin" w:hAnchor="margin" w:xAlign="right" w:yAlign="top"/>
      </w:pPr>
    </w:p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7761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103" w:name="fig-hist-sbp-logscale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NormalTok"/>
                    </w:rPr>
                    <w:t xml:space="preserve">wcgs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ggplot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lnsbp)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geom_histogram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bins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30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fill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"coral"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"white"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labs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"log(Systolic BP)"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"Count"</w:t>
                  </w:r>
                  <w:r>
                    <w:rPr>
                      <w:rStyle w:val="NormalTok"/>
                    </w:rPr>
                    <w:t xml:space="preserve">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101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exploratory-descriptive_files/figure-docx/unnamed-chunk-19-1.png" id="102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10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(b) Log scale</w:t>
                  </w:r>
                </w:p>
                <w:bookmarkEnd w:id="103"/>
              </w:tc>
            </w:tr>
          </w:tbl>
          <w:p/>
        </w:tc>
      </w:tr>
    </w:tbl>
    <w:p>
      <w:pPr>
        <w:pStyle w:val="BodyText"/>
      </w:pPr>
      <w:pPr>
        <w:spacing w:before="200"/>
        <w:pStyle w:val="ImageCaption"/>
      </w:pPr>
      <w:r>
        <w:t xml:space="preserve">Figure 9: Distribution of systolic blood pressure in the WCGS, on two scales</w:t>
      </w:r>
    </w:p>
    <w:bookmarkEnd w:id="104"/>
    <w:p>
      <w:pPr>
        <w:pStyle w:val="SourceCode"/>
      </w:pPr>
      <w:r>
        <w:rPr>
          <w:rStyle w:val="CommentTok"/>
        </w:rPr>
        <w:t xml:space="preserve"># sample skewness: mean cubed deviation, divided by the cubed SD</w:t>
      </w:r>
      <w:r>
        <w:br/>
      </w:r>
      <w:r>
        <w:rPr>
          <w:rStyle w:val="NormalTok"/>
        </w:rPr>
        <w:t xml:space="preserve">skewness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{</w:t>
      </w:r>
      <w:r>
        <w:br/>
      </w:r>
      <w:r>
        <w:rPr>
          <w:rStyle w:val="NormalTok"/>
        </w:rPr>
        <w:t xml:space="preserve">  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x[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(x)]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((x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(x))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(x)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3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sbp_skew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raw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skewness</w:t>
      </w:r>
      <w:r>
        <w:rPr>
          <w:rStyle w:val="NormalTok"/>
        </w:rPr>
        <w:t xml:space="preserve">(wcgs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sbp),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log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skewness</w:t>
      </w:r>
      <w:r>
        <w:rPr>
          <w:rStyle w:val="NormalTok"/>
        </w:rPr>
        <w:t xml:space="preserve">(wcgs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lnsbp)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The log-transformed SBP is less skewed than the raw SBP</w:t>
      </w:r>
      <w:r>
        <w:t xml:space="preserve"> </w:t>
      </w:r>
      <w:r>
        <w:t xml:space="preserve">(sample skewness 0.74</w:t>
      </w:r>
      <w:r>
        <w:t xml:space="preserve"> </w:t>
      </w:r>
      <w:r>
        <w:t xml:space="preserve">versus 1.2),</w:t>
      </w:r>
      <w:r>
        <w:t xml:space="preserve"> </w:t>
      </w:r>
      <w:r>
        <w:t xml:space="preserve">but still not symmetric.</w:t>
      </w:r>
      <w:r>
        <w:t xml:space="preserve"> </w:t>
      </w:r>
      <w:r>
        <w:t xml:space="preserve">Whether to transform a variable in a regression model depends on</w:t>
      </w:r>
      <w:r>
        <w:t xml:space="preserve"> </w:t>
      </w:r>
      <w:r>
        <w:t xml:space="preserve">the assumptions of that model and on the scientific question.</w:t>
      </w:r>
    </w:p>
    <w:bookmarkEnd w:id="105"/>
    <w:bookmarkStart w:id="107" w:name="an-exploratory-data-analysis-workflow"/>
    <w:p>
      <w:pPr>
        <w:pStyle w:val="Heading2"/>
      </w:pPr>
      <w:r>
        <w:t xml:space="preserve">6 An exploratory data analysis workflow</w:t>
      </w:r>
    </w:p>
    <w:p>
      <w:pPr>
        <w:pStyle w:val="FirstParagraph"/>
      </w:pPr>
      <w:r>
        <w:t xml:space="preserve">A typical exploratory data analysis proceeds as follows: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Understand the dataset</w:t>
      </w:r>
      <w:r>
        <w:t xml:space="preserve">:</w:t>
      </w:r>
      <w:r>
        <w:t xml:space="preserve"> </w:t>
      </w:r>
      <w:r>
        <w:t xml:space="preserve">the number of observations and variables, and each variable’s type.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Examine each variable individually</w:t>
      </w:r>
      <w:r>
        <w:t xml:space="preserve">:</w:t>
      </w:r>
    </w:p>
    <w:p>
      <w:pPr>
        <w:pStyle w:val="Compact"/>
        <w:numPr>
          <w:ilvl w:val="1"/>
          <w:numId w:val="1007"/>
        </w:numPr>
      </w:pPr>
      <w:r>
        <w:t xml:space="preserve">continuous: histogram, box plot, mean, SD, median, IQR;</w:t>
      </w:r>
    </w:p>
    <w:p>
      <w:pPr>
        <w:pStyle w:val="Compact"/>
        <w:numPr>
          <w:ilvl w:val="1"/>
          <w:numId w:val="1007"/>
        </w:numPr>
      </w:pPr>
      <w:r>
        <w:t xml:space="preserve">categorical: bar chart, frequency table;</w:t>
      </w:r>
    </w:p>
    <w:p>
      <w:pPr>
        <w:pStyle w:val="Compact"/>
        <w:numPr>
          <w:ilvl w:val="1"/>
          <w:numId w:val="1007"/>
        </w:numPr>
      </w:pPr>
      <w:r>
        <w:t xml:space="preserve">note missing values, unusual values, and outliers.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Examine relationships between variables</w:t>
      </w:r>
      <w:r>
        <w:t xml:space="preserve">:</w:t>
      </w:r>
    </w:p>
    <w:p>
      <w:pPr>
        <w:pStyle w:val="Compact"/>
        <w:numPr>
          <w:ilvl w:val="1"/>
          <w:numId w:val="1008"/>
        </w:numPr>
      </w:pPr>
      <w:r>
        <w:t xml:space="preserve">two continuous variables: scatter plot, correlation;</w:t>
      </w:r>
    </w:p>
    <w:p>
      <w:pPr>
        <w:pStyle w:val="Compact"/>
        <w:numPr>
          <w:ilvl w:val="1"/>
          <w:numId w:val="1008"/>
        </w:numPr>
      </w:pPr>
      <w:r>
        <w:t xml:space="preserve">continuous by categorical: side-by-side box plots, group means;</w:t>
      </w:r>
    </w:p>
    <w:p>
      <w:pPr>
        <w:pStyle w:val="Compact"/>
        <w:numPr>
          <w:ilvl w:val="1"/>
          <w:numId w:val="1008"/>
        </w:numPr>
      </w:pPr>
      <w:r>
        <w:t xml:space="preserve">two categorical variables: contingency table.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Consider transformations</w:t>
      </w:r>
      <w:r>
        <w:t xml:space="preserve"> </w:t>
      </w:r>
      <w:r>
        <w:t xml:space="preserve">for skewed continuous variables.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Summarize the findings</w:t>
      </w:r>
      <w:r>
        <w:t xml:space="preserve"> </w:t>
      </w:r>
      <w:r>
        <w:t xml:space="preserve">to guide model-building decisions.</w:t>
      </w:r>
    </w:p>
    <w:p>
      <w:pPr>
        <w:pStyle w:val="FirstParagraph"/>
      </w:pPr>
      <w:hyperlink w:anchor="tbl-wcgs-all-summary">
        <w:r>
          <w:rPr>
            <w:rStyle w:val="Hyperlink"/>
          </w:rPr>
          <w:t xml:space="preserve">Table 5</w:t>
        </w:r>
      </w:hyperlink>
      <w:r>
        <w:t xml:space="preserve"> </w:t>
      </w:r>
      <w:r>
        <w:t xml:space="preserve">summarizes selected WCGS variables in one table.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06" w:name="tbl-wcgs-all-summ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5: Summary of selected WCGS variables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wcgs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select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age, chol, sbp, dbp, bmi, weight, ncigs,</w:t>
            </w:r>
            <w:r>
              <w:br/>
            </w:r>
            <w:r>
              <w:rPr>
                <w:rStyle w:val="NormalTok"/>
              </w:rPr>
              <w:t xml:space="preserve">    chd69, smoke, dibpat, behpat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gtsummary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tbl_summary</w:t>
            </w:r>
            <w:r>
              <w:rPr>
                <w:rStyle w:val="NormalTok"/>
              </w:rPr>
              <w:t xml:space="preserve">()</w:t>
            </w:r>
          </w:p>
      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<w:tblPr>
              <w:tblCellMar>
                <w:top w:w="0" w:type="dxa"/>
                <w:bottom w:w="0" w:type="dxa"/>
                <w:start w:w="60" w:type="dxa"/>
                <w:end w:w="60" w:type="dxa"/>
              </w:tblCellMar>
              <w:tblW w:type="auto" w:w="0"/>
              <w:tblLook w:firstRow="0" w:lastRow="0" w:firstColumn="0" w:lastColumn="0" w:noHBand="0" w:noVBand="0"/>
              <w:jc w:val="center"/>
            </w:tblPr>
            <w:tr>
              <w:trPr>
                <w:cantSplit/>
                <w:tblHeader/>
              </w:trPr>
              <w:tc>
                <w:tcPr>
                  <w:tcBorders>
                    <w:top w:val="single" w:sz="16" w:space="0" w:color="D3D3D3"/>
                    <w:bottom w:val="single" w:sz="16" w:space="0" w:color="D3D3D3"/>
                    <w:start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Characteristic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N = 3,154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Age (years)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45.0 (42.0, 50.0)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Cholesterol (mg/dL)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223 (197, 253)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Unknown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12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Systolic BP (mmHg)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126 (120, 136)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Diastolic BP (mmHg)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80 (76, 86)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BMI (kg/m^2)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24.39 (22.96, 25.84)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Weight (lbs)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170 (155, 182)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Cigarettes per day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0 (0, 20)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CHD event by 1969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257 (8.1%)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Current smoker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1,502 (48%)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Behavioral pattern (A/B)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Type B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1,565 (50%)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Type A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1,589 (50%)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Behavioral pattern (A1/A2/B3/B4)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A1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264 (8.4%)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A2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1,325 (42%)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B3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1,216 (39%)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B4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349 (11%)</w:t>
                  </w:r>
                </w:p>
              </w:tc>
            </w:tr>
            <w:tr>
              <w:trPr>
                <w:cantSplit/>
              </w:trPr>
              <w:tc>
                <w:tcPr>
                  <w:gridSpan w:val="2"/>
                </w:tcPr>
                <w:p>
                  <w:pPr>
                    <w:spacing w:before="0" w:after="60"/>
                    <w:keepNext/>
                  </w:pP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  <w:r>
                    <w:rPr>
                      <w:rFonts w:ascii="Calibri" w:hAnsi="Calibri"/>
                      <w:sz w:val="20"/>
                    </w:rPr>
                    <w:t xml:space="preserve">Median (Q1, Q3); n (%)</w:t>
                  </w:r>
                </w:p>
              </w:tc>
            </w:tr>
          </w:tbl>
          <w:bookmarkEnd w:id="106"/>
        </w:tc>
      </w:tr>
    </w:tbl>
    <w:bookmarkEnd w:id="107"/>
    <w:bookmarkStart w:id="113" w:name="references"/>
    <w:p>
      <w:pPr>
        <w:pStyle w:val="Heading2"/>
      </w:pPr>
      <w:r>
        <w:t xml:space="preserve">References</w:t>
      </w:r>
    </w:p>
    <w:bookmarkStart w:id="112" w:name="refs"/>
    <w:bookmarkStart w:id="109" w:name="ref-rosenman1975coronary"/>
    <w:p>
      <w:pPr>
        <w:pStyle w:val="Bibliography"/>
      </w:pPr>
      <w:r>
        <w:t xml:space="preserve">Rosenman, Ray H, Richard J Brand, C David Jenkins, Meyer Friedman, Reuben Straus, and Moses Wurm. 1975.</w:t>
      </w:r>
      <w:r>
        <w:t xml:space="preserve"> </w:t>
      </w:r>
      <w:r>
        <w:t xml:space="preserve">“Coronary Heart Disease in the</w:t>
      </w:r>
      <w:r>
        <w:t xml:space="preserve"> </w:t>
      </w:r>
      <w:r>
        <w:t xml:space="preserve">Western Collaborative Group Study</w:t>
      </w:r>
      <w:r>
        <w:t xml:space="preserve">: Final Follow-up Experience of 8 1/2 Years.”</w:t>
      </w:r>
      <w:r>
        <w:t xml:space="preserve"> </w:t>
      </w:r>
      <w:r>
        <w:rPr>
          <w:i/>
          <w:iCs/>
        </w:rPr>
        <w:t xml:space="preserve">JAMA</w:t>
      </w:r>
      <w:r>
        <w:t xml:space="preserve"> </w:t>
      </w:r>
      <w:r>
        <w:t xml:space="preserve">233 (8): 872–77.</w:t>
      </w:r>
      <w:r>
        <w:t xml:space="preserve"> </w:t>
      </w:r>
      <w:hyperlink r:id="rId108">
        <w:r>
          <w:rPr>
            <w:rStyle w:val="Hyperlink"/>
          </w:rPr>
          <w:t xml:space="preserve">https://doi.org/10.1001/jama.1975.03260080034016</w:t>
        </w:r>
      </w:hyperlink>
      <w:r>
        <w:t xml:space="preserve">.</w:t>
      </w:r>
    </w:p>
    <w:bookmarkEnd w:id="109"/>
    <w:bookmarkStart w:id="111" w:name="ref-vittinghoff2e"/>
    <w:p>
      <w:pPr>
        <w:pStyle w:val="Bibliography"/>
      </w:pPr>
      <w:r>
        <w:t xml:space="preserve">Vittinghoff, Eric, David V Glidden, Stephen C Shiboski, and Charles E McCulloch. 2012.</w:t>
      </w:r>
      <w:r>
        <w:t xml:space="preserve"> </w:t>
      </w:r>
      <w:r>
        <w:rPr>
          <w:i/>
          <w:iCs/>
        </w:rPr>
        <w:t xml:space="preserve">Regression Methods in Biostatistics: Linear, Logistic, Survival, and Repeated Measures Models</w:t>
      </w:r>
      <w:r>
        <w:t xml:space="preserve">. 2nd ed. Springer.</w:t>
      </w:r>
      <w:r>
        <w:t xml:space="preserve"> </w:t>
      </w:r>
      <w:hyperlink r:id="rId110">
        <w:r>
          <w:rPr>
            <w:rStyle w:val="Hyperlink"/>
          </w:rPr>
          <w:t xml:space="preserve">https://doi.org/10.1007/978-1-4614-1353-0</w:t>
        </w:r>
      </w:hyperlink>
      <w:r>
        <w:t xml:space="preserve">.</w:t>
      </w:r>
    </w:p>
    <w:bookmarkEnd w:id="111"/>
    <w:bookmarkEnd w:id="112"/>
    <w:bookmarkEnd w:id="1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7" Target="media/rId77.png" /><Relationship Type="http://schemas.openxmlformats.org/officeDocument/2006/relationships/image" Id="rId51" Target="media/rId51.png" /><Relationship Type="http://schemas.openxmlformats.org/officeDocument/2006/relationships/image" Id="rId57" Target="media/rId57.png" /><Relationship Type="http://schemas.openxmlformats.org/officeDocument/2006/relationships/image" Id="rId63" Target="media/rId63.png" /><Relationship Type="http://schemas.openxmlformats.org/officeDocument/2006/relationships/image" Id="rId70" Target="media/rId70.png" /><Relationship Type="http://schemas.openxmlformats.org/officeDocument/2006/relationships/image" Id="rId81" Target="media/rId81.png" /><Relationship Type="http://schemas.openxmlformats.org/officeDocument/2006/relationships/image" Id="rId85" Target="media/rId85.png" /><Relationship Type="http://schemas.openxmlformats.org/officeDocument/2006/relationships/image" Id="rId96" Target="media/rId96.png" /><Relationship Type="http://schemas.openxmlformats.org/officeDocument/2006/relationships/image" Id="rId100" Target="media/rId100.png" /><Relationship Type="http://schemas.openxmlformats.org/officeDocument/2006/relationships/image" Id="rId39" Target="media/rId39.png" /><Relationship Type="http://schemas.openxmlformats.org/officeDocument/2006/relationships/image" Id="rId45" Target="media/rId45.png" /><Relationship Type="http://schemas.openxmlformats.org/officeDocument/2006/relationships/hyperlink" Id="rId108" Target="https://doi.org/10.1001/jama.1975.03260080034016" TargetMode="External" /><Relationship Type="http://schemas.openxmlformats.org/officeDocument/2006/relationships/hyperlink" Id="rId110" Target="https://doi.org/10.1007/978-1-4614-1353-0" TargetMode="External" /><Relationship Type="http://schemas.openxmlformats.org/officeDocument/2006/relationships/hyperlink" Id="rId10" Target="https://en.wikipedia.org/wiki/Type_A_and_Type_B_personality_theory" TargetMode="External" /><Relationship Type="http://schemas.openxmlformats.org/officeDocument/2006/relationships/hyperlink" Id="rId18" Target="nonparametric-models.qmd#def-order-statistics" TargetMode="External" /><Relationship Type="http://schemas.openxmlformats.org/officeDocument/2006/relationships/hyperlink" Id="rId25" Target="nonparametric-models.qmd#def-sample-quantile" TargetMode="External" /><Relationship Type="http://schemas.openxmlformats.org/officeDocument/2006/relationships/hyperlink" Id="rId27" Target="nonparametric-models.qmd#quantile-conven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8" Target="https://doi.org/10.1001/jama.1975.03260080034016" TargetMode="External" /><Relationship Type="http://schemas.openxmlformats.org/officeDocument/2006/relationships/hyperlink" Id="rId110" Target="https://doi.org/10.1007/978-1-4614-1353-0" TargetMode="External" /><Relationship Type="http://schemas.openxmlformats.org/officeDocument/2006/relationships/hyperlink" Id="rId10" Target="https://en.wikipedia.org/wiki/Type_A_and_Type_B_personality_theory" TargetMode="External" /><Relationship Type="http://schemas.openxmlformats.org/officeDocument/2006/relationships/hyperlink" Id="rId18" Target="nonparametric-models.qmd#def-order-statistics" TargetMode="External" /><Relationship Type="http://schemas.openxmlformats.org/officeDocument/2006/relationships/hyperlink" Id="rId25" Target="nonparametric-models.qmd#def-sample-quantile" TargetMode="External" /><Relationship Type="http://schemas.openxmlformats.org/officeDocument/2006/relationships/hyperlink" Id="rId27" Target="nonparametric-models.qmd#quantile-conven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Exploratory Data Analysis</dc:title>
  <dc:creator/>
  <cp:keywords/>
  <dcterms:created xsi:type="dcterms:W3CDTF">2026-09-29T07:12:35Z</dcterms:created>
  <dcterms:modified xsi:type="dcterms:W3CDTF">2026-09-29T07:12:35Z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2026-09-29 00:05:17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4</vt:lpwstr>
  </property>
  <property fmtid="{D5CDD505-2E9C-101B-9397-08002B2CF9AE}" pid="16" name="toc-title">
    <vt:lpwstr>Table of contents</vt:lpwstr>
  </property>
</Properties>
</file>