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 Bootstrap</w:t>
      </w:r>
    </w:p>
    <w:p>
      <w:pPr>
        <w:pStyle w:val="Date"/>
      </w:pPr>
      <w:r>
        <w:t xml:space="preserve">Last modified: 2026-09-29 00:05:17 (PDT)</w:t>
      </w:r>
    </w:p>
    <w:p>
      <w:pPr>
        <w:pStyle w:val="FirstParagraph"/>
      </w:pPr>
      <w:r>
        <w:t xml:space="preserve">This page reviews the bootstrap,</w:t>
      </w:r>
      <w:r>
        <w:t xml:space="preserve"> </w:t>
      </w:r>
      <w:r>
        <w:t xml:space="preserve">a resampling method for standard errors and confidence intervals</w:t>
      </w:r>
      <w:r>
        <w:t xml:space="preserve"> </w:t>
      </w:r>
      <w:r>
        <w:t xml:space="preserve">that does not need a formula for the sampling distribution of a statistic.</w:t>
      </w:r>
      <w:r>
        <w:t xml:space="preserve"> </w:t>
      </w:r>
      <w:r>
        <w:t xml:space="preserve">Its HERS example bootstraps the slope of a</w:t>
      </w:r>
      <w:r>
        <w:t xml:space="preserve"> </w:t>
      </w:r>
      <w:hyperlink r:id="rId9">
        <w:r>
          <w:rPr>
            <w:rStyle w:val="Hyperlink"/>
          </w:rPr>
          <w:t xml:space="preserve">simple linear regression</w:t>
        </w:r>
      </w:hyperlink>
      <w:r>
        <w:t xml:space="preserve">.</w:t>
      </w:r>
      <w:r>
        <w:t xml:space="preserve"> </w:t>
      </w:r>
      <w:r>
        <w:t xml:space="preserve">This page is adapted from</w:t>
      </w:r>
      <w:r>
        <w:t xml:space="preserve"> </w:t>
      </w:r>
      <w:r>
        <w:t xml:space="preserve">Vittinghoff et al. (2012)</w:t>
      </w:r>
      <w:r>
        <w:t xml:space="preserve">, Section 3.6.</w:t>
      </w:r>
    </w:p>
    <w:bookmarkStart w:id="11" w:name="the-hers-data"/>
    <w:p>
      <w:pPr>
        <w:pStyle w:val="Heading2"/>
      </w:pPr>
      <w:r>
        <w:t xml:space="preserve">1 The HERS data</w:t>
      </w:r>
    </w:p>
    <w:p>
      <w:pPr>
        <w:pStyle w:val="FirstParagraph"/>
      </w:pPr>
      <w:r>
        <w:t xml:space="preserve">The examples on this page use the HERS data,</w:t>
      </w:r>
      <w:r>
        <w:t xml:space="preserve"> </w:t>
      </w:r>
      <w:r>
        <w:t xml:space="preserve">which the</w:t>
      </w:r>
      <w:r>
        <w:t xml:space="preserve"> </w:t>
      </w:r>
      <w:hyperlink r:id="rId10">
        <w:r>
          <w:rPr>
            <w:rStyle w:val="Hyperlink"/>
          </w:rPr>
          <w:t xml:space="preserve">Comparing Means</w:t>
        </w:r>
      </w:hyperlink>
      <w:r>
        <w:t xml:space="preserve"> </w:t>
      </w:r>
      <w:r>
        <w:t xml:space="preserve">page describes.</w:t>
      </w:r>
      <w:r>
        <w:t xml:space="preserve"> </w:t>
      </w:r>
      <w:r>
        <w:t xml:space="preserve">The</w:t>
      </w:r>
      <w:r>
        <w:t xml:space="preserve"> </w:t>
      </w:r>
      <w:r>
        <w:rPr>
          <w:rStyle w:val="VerbatimChar"/>
        </w:rPr>
        <w:t xml:space="preserve">rmb</w:t>
      </w:r>
      <w:r>
        <w:t xml:space="preserve"> </w:t>
      </w:r>
      <w:r>
        <w:t xml:space="preserve">R package includes the dataset;</w:t>
      </w:r>
      <w:r>
        <w:t xml:space="preserve"> </w:t>
      </w:r>
      <w:r>
        <w:rPr>
          <w:rStyle w:val="VerbatimChar"/>
        </w:rPr>
        <w:t xml:space="preserve">haven::as_factor()</w:t>
      </w:r>
      <w:r>
        <w:t xml:space="preserve"> </w:t>
      </w:r>
      <w:r>
        <w:t xml:space="preserve">converts its Stata value labels to factors:</w:t>
      </w:r>
    </w:p>
    <w:p>
      <w:pPr>
        <w:pStyle w:val="SourceCode"/>
      </w:pPr>
      <w:r>
        <w:rPr>
          <w:rStyle w:val="NormalTok"/>
        </w:rPr>
        <w:t xml:space="preserve">hers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rmb</w:t>
      </w:r>
      <w:r>
        <w:rPr>
          <w:rStyle w:val="SpecialCharTok"/>
        </w:rPr>
        <w:t xml:space="preserve">::</w:t>
      </w:r>
      <w:r>
        <w:rPr>
          <w:rStyle w:val="NormalTok"/>
        </w:rPr>
        <w:t xml:space="preserve">hers </w:t>
      </w:r>
      <w:r>
        <w:rPr>
          <w:rStyle w:val="SpecialCharTok"/>
        </w:rPr>
        <w:t xml:space="preserve">|&gt;</w:t>
      </w:r>
      <w:r>
        <w:rPr>
          <w:rStyle w:val="NormalTok"/>
        </w:rPr>
        <w:t xml:space="preserve"> haven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as_factor</w:t>
      </w:r>
      <w:r>
        <w:rPr>
          <w:rStyle w:val="NormalTok"/>
        </w:rPr>
        <w:t xml:space="preserve">()</w:t>
      </w:r>
    </w:p>
    <w:bookmarkEnd w:id="11"/>
    <w:bookmarkStart w:id="43" w:name="sec-bootstrap-ci"/>
    <w:p>
      <w:pPr>
        <w:pStyle w:val="Heading2"/>
      </w:pPr>
      <w:r>
        <w:t xml:space="preserve">2 Bootstrap confidence intervals</w:t>
      </w:r>
    </w:p>
    <w:bookmarkStart w:id="12" w:name="sec-bootstrap-when"/>
    <w:p>
      <w:pPr>
        <w:pStyle w:val="Heading3"/>
      </w:pPr>
      <w:r>
        <w:t xml:space="preserve">2.1 When to use the bootstrap</w:t>
      </w:r>
    </w:p>
    <w:p>
      <w:pPr>
        <w:pStyle w:val="FirstParagraph"/>
      </w:pPr>
      <w:r>
        <w:t xml:space="preserve">The bootstrap</w:t>
      </w:r>
      <w:r>
        <w:t xml:space="preserve"> </w:t>
      </w:r>
      <w:r>
        <w:t xml:space="preserve">(Efron 1979; Efron and Tibshirani 1993)</w:t>
      </w:r>
      <w:r>
        <w:t xml:space="preserve"> </w:t>
      </w:r>
      <w:r>
        <w:t xml:space="preserve">estimates the sampling distribution of a statistic</w:t>
      </w:r>
      <w:r>
        <w:t xml:space="preserve"> </w:t>
      </w:r>
      <w:r>
        <w:t xml:space="preserve">by resampling the observed data.</w:t>
      </w:r>
      <w:r>
        <w:t xml:space="preserve"> </w:t>
      </w:r>
      <w:r>
        <w:t xml:space="preserve">It gives standard errors and confidence intervals</w:t>
      </w:r>
      <w:r>
        <w:t xml:space="preserve"> </w:t>
      </w:r>
      <w:r>
        <w:t xml:space="preserve">in three situations where the usual formulas fall short</w:t>
      </w:r>
      <w:r>
        <w:t xml:space="preserve"> </w:t>
      </w:r>
      <w:r>
        <w:t xml:space="preserve">(Vittinghoff et al. 2012, chap. 3)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approximate methods for valid confidence intervals exist,</w:t>
      </w:r>
      <w:r>
        <w:t xml:space="preserve"> </w:t>
      </w:r>
      <w:r>
        <w:t xml:space="preserve">but standard software does not implement them conveniently;</w:t>
      </w:r>
    </w:p>
    <w:p>
      <w:pPr>
        <w:pStyle w:val="Compact"/>
        <w:numPr>
          <w:ilvl w:val="0"/>
          <w:numId w:val="1001"/>
        </w:numPr>
      </w:pPr>
      <w:r>
        <w:t xml:space="preserve">no closed-form approximate method has been found;</w:t>
      </w:r>
    </w:p>
    <w:p>
      <w:pPr>
        <w:pStyle w:val="Compact"/>
        <w:numPr>
          <w:ilvl w:val="0"/>
          <w:numId w:val="1001"/>
        </w:numPr>
      </w:pPr>
      <w:r>
        <w:t xml:space="preserve">the data violate the assumptions of the established methods</w:t>
      </w:r>
      <w:r>
        <w:t xml:space="preserve"> </w:t>
      </w:r>
      <w:r>
        <w:t xml:space="preserve">badly enough that their confidence intervals would be unreliable.</w:t>
      </w:r>
    </w:p>
    <w:bookmarkEnd w:id="12"/>
    <w:bookmarkStart w:id="23" w:name="sec-bootstrap-procedure"/>
    <w:p>
      <w:pPr>
        <w:pStyle w:val="Heading3"/>
      </w:pPr>
      <w:r>
        <w:t xml:space="preserve">2.2 The bootstrap procedure</w:t>
      </w:r>
    </w:p>
    <w:bookmarkStart w:id="13" w:name="def-bootstrap-sample"/>
    <w:p>
      <w:pPr>
        <w:pStyle w:val="FirstParagraph"/>
      </w:pPr>
      <w:r>
        <w:rPr>
          <w:b/>
          <w:bCs/>
        </w:rPr>
        <w:t xml:space="preserve">Definition 1 (Bootstrap sample)</w:t>
      </w:r>
      <w:r>
        <w:t xml:space="preserve"> </w:t>
      </w:r>
      <w:r>
        <w:t xml:space="preserve">A</w:t>
      </w:r>
      <w:r>
        <w:t xml:space="preserve"> </w:t>
      </w:r>
      <w:r>
        <w:rPr>
          <w:b/>
          <w:bCs/>
        </w:rPr>
        <w:t xml:space="preserve">bootstrap sample</w:t>
      </w:r>
      <w:r>
        <w:t xml:space="preserve"> </w:t>
      </w:r>
      <w:r>
        <w:t xml:space="preserve">from observed data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 </w:t>
      </w:r>
      <w:r>
        <w:t xml:space="preserve">is a sample of size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drawn with replacement</w:t>
      </w:r>
      <w:r>
        <w:t xml:space="preserve"> </w:t>
      </w:r>
      <w:r>
        <w:t xml:space="preserve">from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sSub>
              <m:e>
                <m:r>
                  <m:t>x</m:t>
                </m:r>
              </m:e>
              <m:sub>
                <m:r>
                  <m:t>1</m:t>
                </m:r>
              </m:sub>
            </m:sSub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sSub>
              <m:e>
                <m:r>
                  <m:t>x</m:t>
                </m:r>
              </m:e>
              <m:sub>
                <m:r>
                  <m:t>n</m:t>
                </m:r>
              </m:sub>
            </m:sSub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each draw choosing each of the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observations</w:t>
      </w:r>
      <w:r>
        <w:t xml:space="preserve"> </w:t>
      </w:r>
      <w:r>
        <w:t xml:space="preserve">with probability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n</m:t>
        </m:r>
      </m:oMath>
      <w:r>
        <w:t xml:space="preserve">.</w:t>
      </w:r>
    </w:p>
    <w:bookmarkEnd w:id="13"/>
    <w:p>
      <w:pPr>
        <w:pStyle w:val="BodyText"/>
      </w:pPr>
      <w:r>
        <w:t xml:space="preserve">Because the draws are with replacement,</w:t>
      </w:r>
      <w:r>
        <w:t xml:space="preserve"> </w:t>
      </w:r>
      <w:r>
        <w:t xml:space="preserve">a bootstrap sample usually contains some observations more than once</w:t>
      </w:r>
      <w:r>
        <w:t xml:space="preserve"> </w:t>
      </w:r>
      <w:r>
        <w:t xml:space="preserve">and omits others.</w:t>
      </w:r>
    </w:p>
    <w:bookmarkStart w:id="14" w:name="exm-bootstrap-sample-toy"/>
    <w:p>
      <w:pPr>
        <w:pStyle w:val="BodyText"/>
      </w:pPr>
      <w:r>
        <w:rPr>
          <w:b/>
          <w:bCs/>
        </w:rPr>
        <w:t xml:space="preserve">Example 1 (Bootstrap samples of five glucose values)</w:t>
      </w:r>
      <w:r>
        <w:t xml:space="preserve"> </w:t>
      </w:r>
      <w:r>
        <w:t xml:space="preserve">Take the baseline fasting glucose values</w:t>
      </w:r>
      <w:r>
        <w:t xml:space="preserve"> </w:t>
      </w:r>
      <w:r>
        <w:t xml:space="preserve">of the first five HERS participants,</w:t>
      </w:r>
      <w:r>
        <w:t xml:space="preserve"> </w:t>
      </w:r>
      <w:r>
        <w:t xml:space="preserve">and draw two bootstrap samples from them:</w:t>
      </w:r>
    </w:p>
    <w:p>
      <w:pPr>
        <w:pStyle w:val="SourceCode"/>
      </w:pPr>
      <w:r>
        <w:rPr>
          <w:rStyle w:val="NormalTok"/>
        </w:rPr>
        <w:t xml:space="preserve">glucose5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hers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glucose[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5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glucose5</w:t>
      </w:r>
      <w:r>
        <w:br/>
      </w:r>
      <w:r>
        <w:rPr>
          <w:rStyle w:val="CommentTok"/>
        </w:rPr>
        <w:t xml:space="preserve">#&gt; [1]  84 111 114  94 101</w:t>
      </w:r>
      <w:r>
        <w:br/>
      </w:r>
      <w:r>
        <w:rPr>
          <w:rStyle w:val="FunctionTok"/>
        </w:rPr>
        <w:t xml:space="preserve">set.seed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FunctionTok"/>
        </w:rPr>
        <w:t xml:space="preserve">list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sample_1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sample</w:t>
      </w:r>
      <w:r>
        <w:rPr>
          <w:rStyle w:val="NormalTok"/>
        </w:rPr>
        <w:t xml:space="preserve">(glucose5, </w:t>
      </w:r>
      <w:r>
        <w:rPr>
          <w:rStyle w:val="AttributeTok"/>
        </w:rPr>
        <w:t xml:space="preserve">replace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sample_2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sample</w:t>
      </w:r>
      <w:r>
        <w:rPr>
          <w:rStyle w:val="NormalTok"/>
        </w:rPr>
        <w:t xml:space="preserve">(glucose5, </w:t>
      </w:r>
      <w:r>
        <w:rPr>
          <w:rStyle w:val="AttributeTok"/>
        </w:rPr>
        <w:t xml:space="preserve">replace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$sample_1</w:t>
      </w:r>
      <w:r>
        <w:br/>
      </w:r>
      <w:r>
        <w:rPr>
          <w:rStyle w:val="CommentTok"/>
        </w:rPr>
        <w:t xml:space="preserve">#&gt; [1]  84  94  84 111 101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$sample_2</w:t>
      </w:r>
      <w:r>
        <w:br/>
      </w:r>
      <w:r>
        <w:rPr>
          <w:rStyle w:val="CommentTok"/>
        </w:rPr>
        <w:t xml:space="preserve">#&gt; [1] 114 111 114 114  84</w:t>
      </w:r>
    </w:p>
    <w:p>
      <w:pPr>
        <w:pStyle w:val="FirstParagraph"/>
      </w:pPr>
      <w:r>
        <w:t xml:space="preserve">Each bootstrap sample has five values,</w:t>
      </w:r>
      <w:r>
        <w:t xml:space="preserve"> </w:t>
      </w:r>
      <w:r>
        <w:t xml:space="preserve">but some original values appear more than once</w:t>
      </w:r>
      <w:r>
        <w:t xml:space="preserve"> </w:t>
      </w:r>
      <w:r>
        <w:t xml:space="preserve">and others do not appear at all.</w:t>
      </w:r>
    </w:p>
    <w:bookmarkEnd w:id="14"/>
    <w:bookmarkStart w:id="15" w:name="def-bootstrap-distribution"/>
    <w:p>
      <w:pPr>
        <w:pStyle w:val="BodyText"/>
      </w:pPr>
      <w:r>
        <w:rPr>
          <w:b/>
          <w:bCs/>
        </w:rPr>
        <w:t xml:space="preserve">Definition 2 (Bootstrap distribution)</w:t>
      </w:r>
      <w:r>
        <w:t xml:space="preserve"> </w:t>
      </w:r>
      <w:r>
        <w:t xml:space="preserve">Let</w:t>
      </w:r>
      <w:r>
        <w:t xml:space="preserve"> </w:t>
      </w:r>
      <m:oMath>
        <m:acc>
          <m:accPr>
            <m:chr m:val="̂"/>
          </m:accPr>
          <m:e>
            <m:r>
              <m:t>θ</m:t>
            </m:r>
          </m:e>
        </m:acc>
      </m:oMath>
      <w:r>
        <w:t xml:space="preserve"> </w:t>
      </w:r>
      <w:r>
        <w:t xml:space="preserve">be a statistic computed from the observed data.</w:t>
      </w:r>
      <w:r>
        <w:t xml:space="preserve"> </w:t>
      </w:r>
      <w:r>
        <w:t xml:space="preserve">Draw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independent</w:t>
      </w:r>
      <w:r>
        <w:t xml:space="preserve"> </w:t>
      </w:r>
      <w:hyperlink w:anchor="def-bootstrap-sample">
        <w:r>
          <w:rPr>
            <w:rStyle w:val="Hyperlink"/>
          </w:rPr>
          <w:t xml:space="preserve">bootstrap samples</w:t>
        </w:r>
      </w:hyperlink>
      <w:r>
        <w:t xml:space="preserve">,</w:t>
      </w:r>
      <w:r>
        <w:t xml:space="preserve"> </w:t>
      </w:r>
      <w:r>
        <w:t xml:space="preserve">and compute the statistic on each one,</w:t>
      </w:r>
      <w:r>
        <w:t xml:space="preserve"> </w:t>
      </w:r>
      <w:r>
        <w:t xml:space="preserve">giving</w:t>
      </w:r>
      <w:r>
        <w:t xml:space="preserve"> </w:t>
      </w:r>
      <m:oMath>
        <m:sSubSup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1</m:t>
            </m:r>
          </m:sub>
          <m:sup>
            <m:r>
              <m:rPr>
                <m:sty m:val="p"/>
              </m:rPr>
              <m:t>*</m:t>
            </m:r>
          </m:sup>
        </m:sSubSup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Sup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B</m:t>
            </m:r>
          </m:sub>
          <m:sup>
            <m:r>
              <m:rPr>
                <m:sty m:val="p"/>
              </m:rPr>
              <m:t>*</m:t>
            </m:r>
          </m:sup>
        </m:sSubSup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bootstrap distribution</w:t>
      </w:r>
      <w:r>
        <w:t xml:space="preserve"> </w:t>
      </w:r>
      <w:r>
        <w:t xml:space="preserve">of</w:t>
      </w:r>
      <w:r>
        <w:t xml:space="preserve"> </w:t>
      </w:r>
      <m:oMath>
        <m:acc>
          <m:accPr>
            <m:chr m:val="̂"/>
          </m:accPr>
          <m:e>
            <m:r>
              <m:t>θ</m:t>
            </m:r>
          </m:e>
        </m:acc>
      </m:oMath>
      <w:r>
        <w:t xml:space="preserve"> </w:t>
      </w:r>
      <w:r>
        <w:t xml:space="preserve">is the empirical distribution of</w:t>
      </w:r>
      <w:r>
        <w:t xml:space="preserve"> </w:t>
      </w:r>
      <m:oMath>
        <m:sSubSup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1</m:t>
            </m:r>
          </m:sub>
          <m:sup>
            <m:r>
              <m:rPr>
                <m:sty m:val="p"/>
              </m:rPr>
              <m:t>*</m:t>
            </m:r>
          </m:sup>
        </m:sSubSup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Sup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B</m:t>
            </m:r>
          </m:sub>
          <m:sup>
            <m:r>
              <m:rPr>
                <m:sty m:val="p"/>
              </m:rPr>
              <m:t>*</m:t>
            </m:r>
          </m:sup>
        </m:sSubSup>
      </m:oMath>
      <w:r>
        <w:t xml:space="preserve">.</w:t>
      </w:r>
    </w:p>
    <w:bookmarkEnd w:id="15"/>
    <w:p>
      <w:pPr>
        <w:pStyle w:val="BodyText"/>
      </w:pPr>
      <w:r>
        <w:t xml:space="preserve">The bootstrap distribution estimates the sampling distribution</w:t>
      </w:r>
      <w:r>
        <w:t xml:space="preserve"> </w:t>
      </w:r>
      <w:r>
        <w:t xml:space="preserve">of</w:t>
      </w:r>
      <w:r>
        <w:t xml:space="preserve"> </w:t>
      </w:r>
      <m:oMath>
        <m:acc>
          <m:accPr>
            <m:chr m:val="̂"/>
          </m:accPr>
          <m:e>
            <m:r>
              <m:t>θ</m:t>
            </m:r>
          </m:e>
        </m:acc>
      </m:oMath>
      <w:r>
        <w:t xml:space="preserve">.</w:t>
      </w:r>
      <w:r>
        <w:t xml:space="preserve"> </w:t>
      </w:r>
      <w:r>
        <w:t xml:space="preserve">The observed sample stands in for the population,</w:t>
      </w:r>
      <w:r>
        <w:t xml:space="preserve"> </w:t>
      </w:r>
      <w:r>
        <w:t xml:space="preserve">and resampling from it stands in for drawing new samples</w:t>
      </w:r>
      <w:r>
        <w:t xml:space="preserve"> </w:t>
      </w:r>
      <w:r>
        <w:t xml:space="preserve">from the population.</w:t>
      </w:r>
    </w:p>
    <w:bookmarkStart w:id="17" w:name="def-bootstrap-se"/>
    <w:p>
      <w:pPr>
        <w:pStyle w:val="BodyText"/>
      </w:pPr>
      <w:r>
        <w:rPr>
          <w:b/>
          <w:bCs/>
        </w:rPr>
        <w:t xml:space="preserve">Definition 3 (Bootstrap standard error)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bootstrap standard error</w:t>
      </w:r>
      <w:r>
        <w:t xml:space="preserve"> </w:t>
      </w:r>
      <w:r>
        <w:t xml:space="preserve">of a statistic</w:t>
      </w:r>
      <w:r>
        <w:t xml:space="preserve"> </w:t>
      </w:r>
      <m:oMath>
        <m:acc>
          <m:accPr>
            <m:chr m:val="̂"/>
          </m:accPr>
          <m:e>
            <m:r>
              <m:t>θ</m:t>
            </m:r>
          </m:e>
        </m:acc>
      </m:oMath>
      <w:r>
        <w:t xml:space="preserve">,</w:t>
      </w:r>
      <w:r>
        <w:t xml:space="preserve"> </w:t>
      </w:r>
      <w:r>
        <w:t xml:space="preserve">written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rPr>
                    <m:nor/>
                    <m:sty m:val="p"/>
                  </m:rPr>
                  <m:t>SE</m:t>
                </m:r>
              </m:e>
            </m:acc>
          </m:e>
          <m:sub>
            <m:r>
              <m:rPr>
                <m:nor/>
                <m:sty m:val="p"/>
              </m:rPr>
              <m:t>boot</m:t>
            </m:r>
          </m:sub>
        </m:sSub>
      </m:oMath>
      <w:r>
        <w:t xml:space="preserve">,</w:t>
      </w:r>
      <w:r>
        <w:t xml:space="preserve"> </w:t>
      </w:r>
      <w:r>
        <w:t xml:space="preserve">is the sample standard deviation of the bootstrap replicates</w:t>
      </w:r>
      <w:r>
        <w:t xml:space="preserve"> </w:t>
      </w:r>
      <m:oMath>
        <m:sSubSup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1</m:t>
            </m:r>
          </m:sub>
          <m:sup>
            <m:r>
              <m:rPr>
                <m:sty m:val="p"/>
              </m:rPr>
              <m:t>*</m:t>
            </m:r>
          </m:sup>
        </m:sSubSup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Sup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B</m:t>
            </m:r>
          </m:sub>
          <m:sup>
            <m:r>
              <m:rPr>
                <m:sty m:val="p"/>
              </m:rPr>
              <m:t>*</m:t>
            </m:r>
          </m:sup>
        </m:sSubSup>
      </m:oMath>
      <w:r>
        <w:t xml:space="preserve"> </w:t>
      </w:r>
      <w:r>
        <w:t xml:space="preserve">(</w:t>
      </w:r>
      <w:hyperlink w:anchor="def-bootstrap-distribution">
        <w:r>
          <w:rPr>
            <w:rStyle w:val="Hyperlink"/>
          </w:rPr>
          <w:t xml:space="preserve">Definition 2</w:t>
        </w:r>
      </w:hyperlink>
      <w:r>
        <w:t xml:space="preserve">).</w:t>
      </w:r>
      <w:r>
        <w:t xml:space="preserve"> </w:t>
      </w:r>
      <w:r>
        <w:t xml:space="preserve">It estimates the</w:t>
      </w:r>
      <w:r>
        <w:t xml:space="preserve"> </w:t>
      </w:r>
      <w:hyperlink r:id="rId16">
        <w:r>
          <w:rPr>
            <w:rStyle w:val="Hyperlink"/>
          </w:rPr>
          <w:t xml:space="preserve">standard error</w:t>
        </w:r>
      </w:hyperlink>
      <w:r>
        <w:t xml:space="preserve"> </w:t>
      </w:r>
      <w:r>
        <w:t xml:space="preserve">of</w:t>
      </w:r>
      <w:r>
        <w:t xml:space="preserve"> </w:t>
      </w:r>
      <m:oMath>
        <m:acc>
          <m:accPr>
            <m:chr m:val="̂"/>
          </m:accPr>
          <m:e>
            <m:r>
              <m:t>θ</m:t>
            </m:r>
          </m:e>
        </m:acc>
      </m:oMath>
      <w:r>
        <w:t xml:space="preserve">.</w:t>
      </w:r>
    </w:p>
    <w:bookmarkEnd w:id="17"/>
    <w:bookmarkStart w:id="22" w:name="exm-bootstrap-distribution-toy"/>
    <w:p>
      <w:pPr>
        <w:pStyle w:val="BodyText"/>
      </w:pPr>
      <w:r>
        <w:rPr>
          <w:b/>
          <w:bCs/>
        </w:rPr>
        <w:t xml:space="preserve">Example 2 (Bootstrap distribution of a mean of ten glucose values)</w:t>
      </w:r>
      <w:r>
        <w:t xml:space="preserve"> </w:t>
      </w:r>
      <w:r>
        <w:t xml:space="preserve">Take the baseline fasting glucose values</w:t>
      </w:r>
      <w:r>
        <w:t xml:space="preserve"> </w:t>
      </w:r>
      <w:r>
        <w:t xml:space="preserve">of the first ten HERS participants,</w:t>
      </w:r>
      <w:r>
        <w:t xml:space="preserve"> </w:t>
      </w:r>
      <w:r>
        <w:t xml:space="preserve">and compute the sample mean of each of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000</m:t>
        </m:r>
      </m:oMath>
      <w:r>
        <w:t xml:space="preserve"> </w:t>
      </w:r>
      <w:r>
        <w:t xml:space="preserve">bootstrap samples:</w:t>
      </w:r>
    </w:p>
    <w:p>
      <w:pPr>
        <w:pStyle w:val="SourceCode"/>
      </w:pPr>
      <w:r>
        <w:rPr>
          <w:rStyle w:val="NormalTok"/>
        </w:rPr>
        <w:t xml:space="preserve">glucose10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hers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glucose[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]</w:t>
      </w:r>
      <w:r>
        <w:br/>
      </w:r>
      <w:r>
        <w:rPr>
          <w:rStyle w:val="FunctionTok"/>
        </w:rPr>
        <w:t xml:space="preserve">set.seed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42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boot_means10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replicate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1000</w:t>
      </w:r>
      <w:r>
        <w:rPr>
          <w:rStyle w:val="NormalTok"/>
        </w:rPr>
        <w:t xml:space="preserve">,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sample</w:t>
      </w:r>
      <w:r>
        <w:rPr>
          <w:rStyle w:val="NormalTok"/>
        </w:rPr>
        <w:t xml:space="preserve">(glucose10, </w:t>
      </w:r>
      <w:r>
        <w:rPr>
          <w:rStyle w:val="AttributeTok"/>
        </w:rPr>
        <w:t xml:space="preserve">replace =</w:t>
      </w:r>
      <w:r>
        <w:rPr>
          <w:rStyle w:val="NormalTok"/>
        </w:rPr>
        <w:t xml:space="preserve"> </w:t>
      </w:r>
      <w:r>
        <w:rPr>
          <w:rStyle w:val="ConstantTok"/>
        </w:rPr>
        <w:t xml:space="preserve">TRUE</w:t>
      </w:r>
      <w:r>
        <w:rPr>
          <w:rStyle w:val="NormalTok"/>
        </w:rPr>
        <w:t xml:space="preserve">)))</w:t>
      </w:r>
      <w:r>
        <w:br/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observed_mean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(glucose10),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bootstrap_se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(boot_means10),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formula_se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(glucose10)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</w:t>
      </w:r>
      <w:r>
        <w:rPr>
          <w:rStyle w:val="AttributeTok"/>
        </w:rPr>
        <w:t xml:space="preserve">divide_by_n_se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sqrt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((glucose10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(glucose10))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 observed_mean   bootstrap_se     formula_se divide_by_n_se </w:t>
      </w:r>
      <w:r>
        <w:br/>
      </w:r>
      <w:r>
        <w:rPr>
          <w:rStyle w:val="CommentTok"/>
        </w:rPr>
        <w:t xml:space="preserve">#&gt;      103.80000        3.47992        3.61417        3.42870</w:t>
      </w:r>
    </w:p>
    <w:p>
      <w:pPr>
        <w:pStyle w:val="FirstParagraph"/>
      </w:pPr>
      <w:r>
        <w:t xml:space="preserve">The bootstrap standard error (</w:t>
      </w:r>
      <w:hyperlink w:anchor="def-bootstrap-se">
        <w:r>
          <w:rPr>
            <w:rStyle w:val="Hyperlink"/>
          </w:rPr>
          <w:t xml:space="preserve">Definition 3</w:t>
        </w:r>
      </w:hyperlink>
      <w:r>
        <w:t xml:space="preserve">)</w:t>
      </w:r>
      <w:r>
        <w:t xml:space="preserve"> </w:t>
      </w:r>
      <w:r>
        <w:t xml:space="preserve">is close to the usual estimate</w:t>
      </w:r>
      <w:r>
        <w:t xml:space="preserve"> </w:t>
      </w:r>
      <m:oMath>
        <m:r>
          <m:t>s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.</w:t>
      </w:r>
      <w:r>
        <w:t xml:space="preserve"> </w:t>
      </w:r>
      <w:r>
        <w:t xml:space="preserve">Each bootstrap draw has variance</w:t>
      </w:r>
      <w:r>
        <w:t xml:space="preserve"> </w:t>
      </w:r>
      <m:oMath>
        <m:sSup>
          <m:e>
            <m:acc>
              <m:accPr>
                <m:chr m:val="̂"/>
              </m:accPr>
              <m:e>
                <m:r>
                  <m:t>σ</m:t>
                </m:r>
              </m:e>
            </m:acc>
          </m:e>
          <m:sup>
            <m:r>
              <m:t>2</m:t>
            </m:r>
          </m:sup>
        </m:sSup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f>
          <m:fPr>
            <m:type m:val="bar"/>
          </m:fPr>
          <m:num>
            <m:r>
              <m:t>1</m:t>
            </m:r>
          </m:num>
          <m:den>
            <m:r>
              <m:t>n</m:t>
            </m:r>
          </m:den>
        </m:f>
        <m:nary>
          <m:naryPr>
            <m:chr m:val="∑"/>
            <m:limLoc m:val="undOvr"/>
            <m:subHide m:val="off"/>
            <m:supHide m:val="off"/>
          </m:naryPr>
          <m:sub>
            <m:r>
              <m:t>i</m:t>
            </m:r>
            <m:r>
              <m:rPr>
                <m:sty m:val="p"/>
              </m:rPr>
              <m:t>=</m:t>
            </m:r>
            <m:r>
              <m:t>1</m:t>
            </m:r>
          </m:sub>
          <m:sup>
            <m:r>
              <m:t>n</m:t>
            </m:r>
          </m:sup>
          <m:e>
            <m:r>
              <m:rPr>
                <m:sty m:val="p"/>
              </m:rPr>
              <m:t>(</m:t>
            </m:r>
          </m:e>
        </m:nary>
        <m:sSub>
          <m:e>
            <m:r>
              <m:t>x</m:t>
            </m:r>
          </m:e>
          <m:sub>
            <m:r>
              <m:t>i</m:t>
            </m:r>
          </m:sub>
        </m:sSub>
        <m:r>
          <m:rPr>
            <m:sty m:val="p"/>
          </m:rPr>
          <m:t>−</m:t>
        </m:r>
        <m:acc>
          <m:accPr>
            <m:chr m:val="‾"/>
          </m:accPr>
          <m:e>
            <m:r>
              <m:t>x</m:t>
            </m:r>
          </m:e>
        </m:acc>
        <m:sSup>
          <m:e>
            <m:r>
              <m:rPr>
                <m:sty m:val="p"/>
              </m:rPr>
              <m:t>)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around</w:t>
      </w:r>
      <w:r>
        <w:t xml:space="preserve"> </w:t>
      </w:r>
      <m:oMath>
        <m:acc>
          <m:accPr>
            <m:chr m:val="‾"/>
          </m:accPr>
          <m:e>
            <m:r>
              <m:t>x</m:t>
            </m:r>
          </m:e>
        </m:acc>
      </m:oMath>
      <w:r>
        <w:t xml:space="preserve">, and the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draws are independent,</w:t>
      </w:r>
      <w:r>
        <w:t xml:space="preserve"> </w:t>
      </w:r>
      <w:r>
        <w:t xml:space="preserve">so as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grows the bootstrap standard error of the mean</w:t>
      </w:r>
      <w:r>
        <w:t xml:space="preserve"> </w:t>
      </w:r>
      <w:r>
        <w:t xml:space="preserve">approaches</w:t>
      </w:r>
      <w:r>
        <w:t xml:space="preserve"> </w:t>
      </w:r>
      <m:oMath>
        <m:acc>
          <m:accPr>
            <m:chr m:val="̂"/>
          </m:accPr>
          <m:e>
            <m:r>
              <m:t>σ</m:t>
            </m:r>
          </m:e>
        </m:acc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 </w:t>
      </w:r>
      <w:r>
        <w:t xml:space="preserve">(</w:t>
      </w:r>
      <w:r>
        <w:rPr>
          <w:rStyle w:val="VerbatimChar"/>
        </w:rPr>
        <w:t xml:space="preserve">divide_by_n_se</w:t>
      </w:r>
      <w:r>
        <w:t xml:space="preserve">),</w:t>
      </w:r>
      <w:r>
        <w:t xml:space="preserve"> </w:t>
      </w:r>
      <w:r>
        <w:t xml:space="preserve">which is smaller than</w:t>
      </w:r>
      <w:r>
        <w:t xml:space="preserve"> </w:t>
      </w:r>
      <m:oMath>
        <m:r>
          <m:t>s</m:t>
        </m:r>
        <m:r>
          <m:rPr>
            <m:sty m:val="p"/>
          </m:rPr>
          <m:t>/</m:t>
        </m:r>
        <m:rad>
          <m:radPr>
            <m:degHide m:val="on"/>
          </m:radPr>
          <m:deg/>
          <m:e>
            <m:r>
              <m:t>n</m:t>
            </m:r>
          </m:e>
        </m:rad>
      </m:oMath>
      <w:r>
        <w:t xml:space="preserve"> </w:t>
      </w:r>
      <w:r>
        <w:t xml:space="preserve">by the factor</w:t>
      </w:r>
      <w:r>
        <w:t xml:space="preserve"> </w:t>
      </w:r>
      <m:oMath>
        <m:rad>
          <m:radPr>
            <m:degHide m:val="on"/>
          </m:radPr>
          <m:deg/>
          <m:e>
            <m:r>
              <m:rPr>
                <m:sty m:val="p"/>
              </m:rPr>
              <m:t>(</m:t>
            </m:r>
            <m:r>
              <m:t>n</m:t>
            </m:r>
            <m:r>
              <m:rPr>
                <m:sty m:val="p"/>
              </m:rPr>
              <m:t>−</m:t>
            </m:r>
            <m:r>
              <m:t>1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/</m:t>
            </m:r>
            <m:r>
              <m:t>n</m:t>
            </m:r>
          </m:e>
        </m:rad>
      </m:oMath>
      <w:r>
        <w:t xml:space="preserve">.</w:t>
      </w:r>
      <w:r>
        <w:t xml:space="preserve"> </w:t>
      </w:r>
      <w:hyperlink w:anchor="fig-boot-dist-toy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shows the bootstrap distribution.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1" w:name="fig-boot-dist-toy"/>
          <w:p>
            <w:pPr>
              <w:pStyle w:val="SourceCode"/>
              <w:jc w:val="center"/>
            </w:pPr>
            <w:r>
              <w:rPr>
                <w:rStyle w:val="NormalTok"/>
              </w:rPr>
              <w:t xml:space="preserve">tibble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tibble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mean =</w:t>
            </w:r>
            <w:r>
              <w:rPr>
                <w:rStyle w:val="NormalTok"/>
              </w:rPr>
              <w:t xml:space="preserve"> boot_means10) </w:t>
            </w:r>
            <w:r>
              <w:rPr>
                <w:rStyle w:val="SpecialCharTok"/>
              </w:rPr>
              <w:t xml:space="preserve">|&gt;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ggplot</w:t>
            </w:r>
            <w:r>
              <w:rPr>
                <w:rStyle w:val="NormalTok"/>
              </w:rPr>
              <w:t xml:space="preserve">()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aes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mean)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geom_histogram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bins =</w:t>
            </w:r>
            <w:r>
              <w:rPr>
                <w:rStyle w:val="NormalTok"/>
              </w:rPr>
              <w:t xml:space="preserve"> </w:t>
            </w:r>
            <w:r>
              <w:rPr>
                <w:rStyle w:val="DecValTok"/>
              </w:rPr>
              <w:t xml:space="preserve">30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color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"white"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geom_vline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xintercept =</w:t>
            </w:r>
            <w:r>
              <w:rPr>
                <w:rStyle w:val="NormalTok"/>
              </w:rPr>
              <w:t xml:space="preserve"> </w:t>
            </w:r>
            <w:r>
              <w:rPr>
                <w:rStyle w:val="FunctionTok"/>
              </w:rPr>
              <w:t xml:space="preserve">mean</w:t>
            </w:r>
            <w:r>
              <w:rPr>
                <w:rStyle w:val="NormalTok"/>
              </w:rPr>
              <w:t xml:space="preserve">(glucose10), </w:t>
            </w:r>
            <w:r>
              <w:rPr>
                <w:rStyle w:val="AttributeTok"/>
              </w:rPr>
              <w:t xml:space="preserve">color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"red"</w:t>
            </w:r>
            <w:r>
              <w:rPr>
                <w:rStyle w:val="NormalTok"/>
              </w:rPr>
              <w:t xml:space="preserve">) </w:t>
            </w:r>
            <w:r>
              <w:rPr>
                <w:rStyle w:val="SpecialCharTok"/>
              </w:rPr>
              <w:t xml:space="preserve">+</w:t>
            </w:r>
            <w:r>
              <w:br/>
            </w:r>
            <w:r>
              <w:rPr>
                <w:rStyle w:val="NormalTok"/>
              </w:rPr>
              <w:t xml:space="preserve">  ggplot2</w:t>
            </w:r>
            <w:r>
              <w:rPr>
                <w:rStyle w:val="SpecialCharTok"/>
              </w:rPr>
              <w:t xml:space="preserve">::</w:t>
            </w:r>
            <w:r>
              <w:rPr>
                <w:rStyle w:val="FunctionTok"/>
              </w:rPr>
              <w:t xml:space="preserve">labs</w:t>
            </w:r>
            <w:r>
              <w:rPr>
                <w:rStyle w:val="NormalTok"/>
              </w:rPr>
              <w:t xml:space="preserve">(</w:t>
            </w:r>
            <w:r>
              <w:rPr>
                <w:rStyle w:val="AttributeTok"/>
              </w:rPr>
              <w:t xml:space="preserve">x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"Bootstrap mean (mg/dL)"</w:t>
            </w:r>
            <w:r>
              <w:rPr>
                <w:rStyle w:val="NormalTok"/>
              </w:rPr>
              <w:t xml:space="preserve">, </w:t>
            </w:r>
            <w:r>
              <w:rPr>
                <w:rStyle w:val="AttributeTok"/>
              </w:rPr>
              <w:t xml:space="preserve">y =</w:t>
            </w:r>
            <w:r>
              <w:rPr>
                <w:rStyle w:val="NormalTok"/>
              </w:rPr>
              <w:t xml:space="preserve"> </w:t>
            </w:r>
            <w:r>
              <w:rPr>
                <w:rStyle w:val="StringTok"/>
              </w:rPr>
              <w:t xml:space="preserve">"Count"</w:t>
            </w:r>
            <w:r>
              <w:rPr>
                <w:rStyle w:val="NormalTok"/>
              </w:rPr>
              <w:t xml:space="preserve">)</w:t>
            </w:r>
          </w:p>
          <w:p>
            <w:pPr>
              <w:jc w:val="center"/>
            </w:pPr>
            <w:r>
              <w:drawing>
                <wp:inline>
                  <wp:extent cx="4620126" cy="3696101"/>
                  <wp:effectExtent b="0" l="0" r="0" t="0"/>
                  <wp:docPr descr="" title="" id="19" name="Picture"/>
                  <a:graphic>
                    <a:graphicData uri="http://schemas.openxmlformats.org/drawingml/2006/picture">
                      <pic:pic>
                        <pic:nvPicPr>
                          <pic:cNvPr descr="bootstrap_files/figure-docx/unnamed-chunk-3-1.png" id="2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36961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Bootstrap distribution of the mean fasting glucose</w:t>
            </w:r>
            <w:r>
              <w:t xml:space="preserve"> </w:t>
            </w:r>
            <w:r>
              <w:t xml:space="preserve">of the first ten HERS participants (</w:t>
            </w:r>
            <m:oMath>
              <m:r>
                <m:t>B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,</m:t>
              </m:r>
              <m:r>
                <m:t>000</m:t>
              </m:r>
            </m:oMath>
            <w:r>
              <w:t xml:space="preserve">).</w:t>
            </w:r>
            <w:r>
              <w:t xml:space="preserve"> </w:t>
            </w:r>
            <w:r>
              <w:t xml:space="preserve">The red line marks the observed mean.</w:t>
            </w:r>
          </w:p>
          <w:bookmarkEnd w:id="21"/>
        </w:tc>
      </w:tr>
    </w:tbl>
    <w:bookmarkEnd w:id="22"/>
    <w:bookmarkEnd w:id="23"/>
    <w:bookmarkStart w:id="38" w:name="sec-bootstrap-methods"/>
    <w:p>
      <w:pPr>
        <w:pStyle w:val="Heading3"/>
      </w:pPr>
      <w:r>
        <w:t xml:space="preserve">2.3 Bootstrap confidence interval methods</w:t>
      </w:r>
    </w:p>
    <w:p>
      <w:pPr>
        <w:pStyle w:val="FirstParagraph"/>
      </w:pPr>
      <w:r>
        <w:t xml:space="preserve">There are three common methods for turning a bootstrap distribution</w:t>
      </w:r>
      <w:r>
        <w:t xml:space="preserve"> </w:t>
      </w:r>
      <w:r>
        <w:t xml:space="preserve">into a</w:t>
      </w:r>
      <w:r>
        <w:t xml:space="preserve"> </w:t>
      </w:r>
      <m:oMath>
        <m:r>
          <m:t>100</m:t>
        </m:r>
        <m:r>
          <m:rPr>
            <m:sty m:val="p"/>
          </m:rPr>
          <m:t>(</m:t>
        </m:r>
        <m:r>
          <m:t>1</m:t>
        </m:r>
        <m:r>
          <m:rPr>
            <m:sty m:val="p"/>
          </m:rPr>
          <m:t>−</m:t>
        </m:r>
        <m:r>
          <m:t>α</m:t>
        </m:r>
        <m:r>
          <m:rPr>
            <m:sty m:val="p"/>
          </m:rPr>
          <m:t>)</m:t>
        </m:r>
        <m:r>
          <m:rPr>
            <m:sty m:val="p"/>
          </m:rPr>
          <m:t>%</m:t>
        </m:r>
      </m:oMath>
      <w:r>
        <w:t xml:space="preserve"> </w:t>
      </w:r>
      <w:r>
        <w:t xml:space="preserve">confidence interval for a parameter</w:t>
      </w:r>
      <w:r>
        <w:t xml:space="preserve"> </w:t>
      </w:r>
      <m:oMath>
        <m:r>
          <m:t>θ</m:t>
        </m:r>
      </m:oMath>
      <w:r>
        <w:t xml:space="preserve"> </w:t>
      </w:r>
      <w:r>
        <w:t xml:space="preserve">(Vittinghoff et al. 2012, chap. 3; Efron and Tibshirani 1993)</w:t>
      </w:r>
      <w:r>
        <w:t xml:space="preserve">.</w:t>
      </w:r>
      <w:r>
        <w:t xml:space="preserve"> </w:t>
      </w:r>
      <w:r>
        <w:t xml:space="preserve">Each is an approximate</w:t>
      </w:r>
      <w:r>
        <w:t xml:space="preserve"> </w:t>
      </w:r>
      <w:hyperlink r:id="rId24">
        <w:r>
          <w:rPr>
            <w:rStyle w:val="Hyperlink"/>
          </w:rPr>
          <w:t xml:space="preserve">confidence interval</w:t>
        </w:r>
      </w:hyperlink>
      <w:r>
        <w:t xml:space="preserve">.</w:t>
      </w:r>
      <w:r>
        <w:t xml:space="preserve"> </w:t>
      </w:r>
      <w:r>
        <w:t xml:space="preserve">Throughout,</w:t>
      </w:r>
      <w:r>
        <w:t xml:space="preserve"> </w:t>
      </w:r>
      <m:oMath>
        <m:sSub>
          <m:e>
            <m:r>
              <m:t>z</m:t>
            </m:r>
          </m:e>
          <m:sub>
            <m:r>
              <m:t>q</m:t>
            </m:r>
          </m:sub>
        </m:sSub>
      </m:oMath>
      <w:r>
        <w:t xml:space="preserve"> </w:t>
      </w:r>
      <w:r>
        <w:t xml:space="preserve">is the</w:t>
      </w:r>
      <w:r>
        <w:t xml:space="preserve"> </w:t>
      </w:r>
      <m:oMath>
        <m:r>
          <m:t>q</m:t>
        </m:r>
      </m:oMath>
      <w:r>
        <w:t xml:space="preserve"> </w:t>
      </w:r>
      <w:r>
        <w:t xml:space="preserve">quantile of the standard Gaussian distribution</w:t>
      </w:r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m:t>Φ</m:t>
        </m:r>
      </m:oMath>
      <w:r>
        <w:t xml:space="preserve"> </w:t>
      </w:r>
      <w:r>
        <w:t xml:space="preserve">is its CDF.</w:t>
      </w:r>
    </w:p>
    <w:bookmarkStart w:id="27" w:name="sec-bootstrap-normal"/>
    <w:p>
      <w:pPr>
        <w:pStyle w:val="Heading4"/>
      </w:pPr>
      <w:r>
        <w:t xml:space="preserve">2.3.1 Normal approximation</w:t>
      </w:r>
    </w:p>
    <w:bookmarkStart w:id="25" w:name="def-bootstrap-ci-normal"/>
    <w:p>
      <w:pPr>
        <w:pStyle w:val="FirstParagraph"/>
      </w:pPr>
      <w:r>
        <w:rPr>
          <w:b/>
          <w:bCs/>
        </w:rPr>
        <w:t xml:space="preserve">Definition 4 (Normal bootstrap confidence interval)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normal bootstrap confidence interval</w:t>
      </w:r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t>θ</m:t>
              </m:r>
            </m:e>
          </m:acc>
          <m:r>
            <m:rPr>
              <m:sty m:val="p"/>
            </m:rPr>
            <m:t>±</m:t>
          </m:r>
          <m:sSub>
            <m:e>
              <m:r>
                <m:t>z</m:t>
              </m:r>
            </m:e>
            <m:sub>
              <m:r>
                <m:t>1</m:t>
              </m:r>
              <m:r>
                <m:rPr>
                  <m:sty m:val="p"/>
                </m:rPr>
                <m:t>−</m:t>
              </m:r>
              <m:r>
                <m:t>α</m:t>
              </m:r>
              <m:r>
                <m:rPr>
                  <m:sty m:val="p"/>
                </m:rPr>
                <m:t>/</m:t>
              </m:r>
              <m:r>
                <m:t>2</m:t>
              </m:r>
            </m:sub>
          </m:sSub>
          <m:r>
            <m:t> </m:t>
          </m:r>
          <m:sSub>
            <m:e>
              <m:acc>
                <m:accPr>
                  <m:chr m:val="̂"/>
                </m:accPr>
                <m:e>
                  <m:r>
                    <m:rPr>
                      <m:nor/>
                      <m:sty m:val="p"/>
                    </m:rPr>
                    <m:t>SE</m:t>
                  </m:r>
                </m:e>
              </m:acc>
            </m:e>
            <m:sub>
              <m:r>
                <m:rPr>
                  <m:nor/>
                  <m:sty m:val="p"/>
                </m:rPr>
                <m:t>boot</m:t>
              </m:r>
            </m:sub>
          </m:sSub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rPr>
                    <m:nor/>
                    <m:sty m:val="p"/>
                  </m:rPr>
                  <m:t>SE</m:t>
                </m:r>
              </m:e>
            </m:acc>
          </m:e>
          <m:sub>
            <m:r>
              <m:rPr>
                <m:nor/>
                <m:sty m:val="p"/>
              </m:rPr>
              <m:t>boot</m:t>
            </m:r>
          </m:sub>
        </m:sSub>
      </m:oMath>
      <w:r>
        <w:t xml:space="preserve"> </w:t>
      </w:r>
      <w:r>
        <w:t xml:space="preserve">is the</w:t>
      </w:r>
      <w:r>
        <w:t xml:space="preserve"> </w:t>
      </w:r>
      <w:r>
        <w:t xml:space="preserve">bootstrap standard error (</w:t>
      </w:r>
      <w:hyperlink w:anchor="def-bootstrap-se">
        <w:r>
          <w:rPr>
            <w:rStyle w:val="Hyperlink"/>
          </w:rPr>
          <w:t xml:space="preserve">Definition 3</w:t>
        </w:r>
      </w:hyperlink>
      <w:r>
        <w:t xml:space="preserve">).</w:t>
      </w:r>
    </w:p>
    <w:bookmarkEnd w:id="25"/>
    <w:p>
      <w:pPr>
        <w:pStyle w:val="BodyText"/>
      </w:pPr>
      <w:r>
        <w:t xml:space="preserve">This interval assumes that the sampling distribution of</w:t>
      </w:r>
      <w:r>
        <w:t xml:space="preserve"> </w:t>
      </w:r>
      <m:oMath>
        <m:acc>
          <m:accPr>
            <m:chr m:val="̂"/>
          </m:accPr>
          <m:e>
            <m:r>
              <m:t>θ</m:t>
            </m:r>
          </m:e>
        </m:acc>
      </m:oMath>
      <w:r>
        <w:t xml:space="preserve"> </w:t>
      </w:r>
      <w:r>
        <w:t xml:space="preserve">is approximately Gaussian and centered at</w:t>
      </w:r>
      <w:r>
        <w:t xml:space="preserve"> </w:t>
      </w:r>
      <m:oMath>
        <m:r>
          <m:t>θ</m:t>
        </m:r>
      </m:oMath>
      <w:r>
        <w:t xml:space="preserve">,</w:t>
      </w:r>
      <w:r>
        <w:t xml:space="preserve"> </w:t>
      </w:r>
      <w:r>
        <w:t xml:space="preserve">so it can be unreliable when that distribution is skewed.</w:t>
      </w:r>
      <w:r>
        <w:t xml:space="preserve"> </w:t>
      </w:r>
      <w:r>
        <w:t xml:space="preserve">It needs only a standard error,</w:t>
      </w:r>
      <w:r>
        <w:t xml:space="preserve"> </w:t>
      </w:r>
      <w:r>
        <w:t xml:space="preserve">which takes fewer bootstrap replicates to estimate well</w:t>
      </w:r>
      <w:r>
        <w:t xml:space="preserve"> </w:t>
      </w:r>
      <w:r>
        <w:t xml:space="preserve">than the tail quantiles used by the next two intervals</w:t>
      </w:r>
      <w:r>
        <w:t xml:space="preserve"> </w:t>
      </w:r>
      <w:r>
        <w:t xml:space="preserve">(Efron and Tibshirani 1993)</w:t>
      </w:r>
      <w:r>
        <w:t xml:space="preserve">.</w:t>
      </w:r>
    </w:p>
    <w:bookmarkStart w:id="26" w:name="exm-bootstrap-normal-toy"/>
    <w:p>
      <w:pPr>
        <w:pStyle w:val="BodyText"/>
      </w:pPr>
      <w:r>
        <w:rPr>
          <w:b/>
          <w:bCs/>
        </w:rPr>
        <w:t xml:space="preserve">Example 3 (Normal bootstrap interval for the mean of ten glucose values)</w:t>
      </w:r>
      <w:r>
        <w:t xml:space="preserve"> </w:t>
      </w:r>
      <w:r>
        <w:t xml:space="preserve">Continuing</w:t>
      </w:r>
      <w:r>
        <w:t xml:space="preserve"> </w:t>
      </w:r>
      <w:hyperlink w:anchor="exm-bootstrap-distribution-toy">
        <w:r>
          <w:rPr>
            <w:rStyle w:val="Hyperlink"/>
          </w:rPr>
          <w:t xml:space="preserve">Example 2</w:t>
        </w:r>
      </w:hyperlink>
      <w:r>
        <w:t xml:space="preserve">,</w:t>
      </w:r>
      <w:r>
        <w:t xml:space="preserve"> </w:t>
      </w:r>
      <w:r>
        <w:t xml:space="preserve">the 95% interval of</w:t>
      </w:r>
      <w:r>
        <w:t xml:space="preserve"> </w:t>
      </w:r>
      <w:hyperlink w:anchor="def-bootstrap-ci-normal">
        <w:r>
          <w:rPr>
            <w:rStyle w:val="Hyperlink"/>
          </w:rPr>
          <w:t xml:space="preserve">Definition 4</w:t>
        </w:r>
      </w:hyperlink>
      <w:r>
        <w:t xml:space="preserve"> </w:t>
      </w:r>
      <w:r>
        <w:t xml:space="preserve">is:</w:t>
      </w:r>
    </w:p>
    <w:p>
      <w:pPr>
        <w:pStyle w:val="SourceCode"/>
      </w:pPr>
      <w:r>
        <w:rPr>
          <w:rStyle w:val="FunctionTok"/>
        </w:rPr>
        <w:t xml:space="preserve">mean</w:t>
      </w:r>
      <w:r>
        <w:rPr>
          <w:rStyle w:val="NormalTok"/>
        </w:rPr>
        <w:t xml:space="preserve">(glucose10) </w:t>
      </w:r>
      <w:r>
        <w:rPr>
          <w:rStyle w:val="SpecialCharTok"/>
        </w:rPr>
        <w:t xml:space="preserve">+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lower =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AttributeTok"/>
        </w:rPr>
        <w:t xml:space="preserve">upper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qnorm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0.975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sd</w:t>
      </w:r>
      <w:r>
        <w:rPr>
          <w:rStyle w:val="NormalTok"/>
        </w:rPr>
        <w:t xml:space="preserve">(boot_means10)</w:t>
      </w:r>
      <w:r>
        <w:br/>
      </w:r>
      <w:r>
        <w:rPr>
          <w:rStyle w:val="CommentTok"/>
        </w:rPr>
        <w:t xml:space="preserve">#&gt;    lower    upper </w:t>
      </w:r>
      <w:r>
        <w:br/>
      </w:r>
      <w:r>
        <w:rPr>
          <w:rStyle w:val="CommentTok"/>
        </w:rPr>
        <w:t xml:space="preserve">#&gt;  96.9795 110.6205</w:t>
      </w:r>
    </w:p>
    <w:bookmarkEnd w:id="26"/>
    <w:bookmarkEnd w:id="27"/>
    <w:bookmarkStart w:id="30" w:name="sec-bootstrap-percentile"/>
    <w:p>
      <w:pPr>
        <w:pStyle w:val="Heading4"/>
      </w:pPr>
      <w:r>
        <w:t xml:space="preserve">2.3.2 Percentile method</w:t>
      </w:r>
    </w:p>
    <w:bookmarkStart w:id="28" w:name="def-bootstrap-ci-percentile"/>
    <w:p>
      <w:pPr>
        <w:pStyle w:val="FirstParagraph"/>
      </w:pPr>
      <w:r>
        <w:rPr>
          <w:b/>
          <w:bCs/>
        </w:rPr>
        <w:t xml:space="preserve">Definition 5 (Percentile bootstrap confidence interval)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percentile bootstrap confidence interval</w:t>
      </w:r>
      <w:r>
        <w:t xml:space="preserve"> </w:t>
      </w:r>
      <w:r>
        <w:t xml:space="preserve">runs from the</w:t>
      </w:r>
      <w:r>
        <w:t xml:space="preserve"> </w:t>
      </w:r>
      <m:oMath>
        <m:r>
          <m:t>α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quantile</w:t>
      </w:r>
      <w:r>
        <w:t xml:space="preserve"> </w:t>
      </w:r>
      <w:r>
        <w:t xml:space="preserve">to the</w:t>
      </w:r>
      <w:r>
        <w:t xml:space="preserve"> </w:t>
      </w:r>
      <m:oMath>
        <m:r>
          <m:t>1</m:t>
        </m:r>
        <m:r>
          <m:rPr>
            <m:sty m:val="p"/>
          </m:rPr>
          <m:t>−</m:t>
        </m:r>
        <m:r>
          <m:t>α</m:t>
        </m:r>
        <m:r>
          <m:rPr>
            <m:sty m:val="p"/>
          </m:rPr>
          <m:t>/</m:t>
        </m:r>
        <m:r>
          <m:t>2</m:t>
        </m:r>
      </m:oMath>
      <w:r>
        <w:t xml:space="preserve"> </w:t>
      </w:r>
      <w:r>
        <w:t xml:space="preserve">quantile</w:t>
      </w:r>
      <w:r>
        <w:t xml:space="preserve"> </w:t>
      </w:r>
      <w:r>
        <w:t xml:space="preserve">of the bootstrap replicates</w:t>
      </w:r>
      <w:r>
        <w:t xml:space="preserve"> </w:t>
      </w:r>
      <m:oMath>
        <m:sSubSup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1</m:t>
            </m:r>
          </m:sub>
          <m:sup>
            <m:r>
              <m:rPr>
                <m:sty m:val="p"/>
              </m:rPr>
              <m:t>*</m:t>
            </m:r>
          </m:sup>
        </m:sSubSup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Sup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B</m:t>
            </m:r>
          </m:sub>
          <m:sup>
            <m:r>
              <m:rPr>
                <m:sty m:val="p"/>
              </m:rPr>
              <m:t>*</m:t>
            </m:r>
          </m:sup>
        </m:sSubSup>
      </m:oMath>
      <w:r>
        <w:t xml:space="preserve"> </w:t>
      </w:r>
      <w:r>
        <w:t xml:space="preserve">(</w:t>
      </w:r>
      <w:hyperlink w:anchor="def-bootstrap-distribution">
        <w:r>
          <w:rPr>
            <w:rStyle w:val="Hyperlink"/>
          </w:rPr>
          <w:t xml:space="preserve">Definition 2</w:t>
        </w:r>
      </w:hyperlink>
      <w:r>
        <w:t xml:space="preserve">).</w:t>
      </w:r>
    </w:p>
    <w:bookmarkEnd w:id="28"/>
    <w:p>
      <w:pPr>
        <w:pStyle w:val="BodyText"/>
      </w:pPr>
      <w:r>
        <w:t xml:space="preserve">The extreme quantiles of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replicates are noisy estimates,</w:t>
      </w:r>
      <w:r>
        <w:t xml:space="preserve"> </w:t>
      </w:r>
      <w:r>
        <w:t xml:space="preserve">so percentile-based intervals need more replicates</w:t>
      </w:r>
      <w:r>
        <w:t xml:space="preserve"> </w:t>
      </w:r>
      <w:r>
        <w:t xml:space="preserve">than the normal interval;</w:t>
      </w:r>
      <w:r>
        <w:t xml:space="preserve"> </w:t>
      </w:r>
      <m:oMath>
        <m:r>
          <m:t>B</m:t>
        </m:r>
      </m:oMath>
      <w:r>
        <w:t xml:space="preserve"> </w:t>
      </w:r>
      <w:r>
        <w:t xml:space="preserve">of at least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000</m:t>
        </m:r>
      </m:oMath>
      <w:r>
        <w:t xml:space="preserve"> </w:t>
      </w:r>
      <w:r>
        <w:t xml:space="preserve">is a common choice.</w:t>
      </w:r>
    </w:p>
    <w:bookmarkStart w:id="29" w:name="exm-bootstrap-percentile-toy"/>
    <w:p>
      <w:pPr>
        <w:pStyle w:val="BodyText"/>
      </w:pPr>
      <w:r>
        <w:rPr>
          <w:b/>
          <w:bCs/>
        </w:rPr>
        <w:t xml:space="preserve">Example 4 (Percentile bootstrap interval for the mean of ten glucose values)</w:t>
      </w:r>
      <w:r>
        <w:t xml:space="preserve"> </w:t>
      </w:r>
      <w:r>
        <w:t xml:space="preserve">Continuing</w:t>
      </w:r>
      <w:r>
        <w:t xml:space="preserve"> </w:t>
      </w:r>
      <w:hyperlink w:anchor="exm-bootstrap-distribution-toy">
        <w:r>
          <w:rPr>
            <w:rStyle w:val="Hyperlink"/>
          </w:rPr>
          <w:t xml:space="preserve">Example 2</w:t>
        </w:r>
      </w:hyperlink>
      <w:r>
        <w:t xml:space="preserve">,</w:t>
      </w:r>
      <w:r>
        <w:t xml:space="preserve"> </w:t>
      </w:r>
      <w:r>
        <w:t xml:space="preserve">the 95% interval of</w:t>
      </w:r>
      <w:r>
        <w:t xml:space="preserve"> </w:t>
      </w:r>
      <w:hyperlink w:anchor="def-bootstrap-ci-percentile">
        <w:r>
          <w:rPr>
            <w:rStyle w:val="Hyperlink"/>
          </w:rPr>
          <w:t xml:space="preserve">Definition 5</w:t>
        </w:r>
      </w:hyperlink>
      <w:r>
        <w:t xml:space="preserve"> </w:t>
      </w:r>
      <w:r>
        <w:t xml:space="preserve">is:</w:t>
      </w:r>
    </w:p>
    <w:p>
      <w:pPr>
        <w:pStyle w:val="SourceCode"/>
      </w:pPr>
      <w:r>
        <w:rPr>
          <w:rStyle w:val="FunctionTok"/>
        </w:rPr>
        <w:t xml:space="preserve">quantile</w:t>
      </w:r>
      <w:r>
        <w:rPr>
          <w:rStyle w:val="NormalTok"/>
        </w:rPr>
        <w:t xml:space="preserve">(boot_means10,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0.025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0.975</w:t>
      </w:r>
      <w:r>
        <w:rPr>
          <w:rStyle w:val="NormalTok"/>
        </w:rPr>
        <w:t xml:space="preserve">))</w:t>
      </w:r>
      <w:r>
        <w:br/>
      </w:r>
      <w:r>
        <w:rPr>
          <w:rStyle w:val="CommentTok"/>
        </w:rPr>
        <w:t xml:space="preserve">#&gt;  2.5% 97.5% </w:t>
      </w:r>
      <w:r>
        <w:br/>
      </w:r>
      <w:r>
        <w:rPr>
          <w:rStyle w:val="CommentTok"/>
        </w:rPr>
        <w:t xml:space="preserve">#&gt;  96.5 110.4</w:t>
      </w:r>
    </w:p>
    <w:bookmarkEnd w:id="29"/>
    <w:bookmarkEnd w:id="30"/>
    <w:bookmarkStart w:id="37" w:name="sec-bootstrap-bca"/>
    <w:p>
      <w:pPr>
        <w:pStyle w:val="Heading4"/>
      </w:pPr>
      <w:r>
        <w:t xml:space="preserve">2.3.3 Bias-corrected and accelerated method</w:t>
      </w:r>
    </w:p>
    <w:bookmarkStart w:id="31" w:name="def-bca-bias-correction"/>
    <w:p>
      <w:pPr>
        <w:pStyle w:val="FirstParagraph"/>
      </w:pPr>
      <w:r>
        <w:rPr>
          <w:b/>
          <w:bCs/>
        </w:rPr>
        <w:t xml:space="preserve">Definition 6 (Bias correction of the BCa interval)</w:t>
      </w:r>
      <w:r>
        <w:t xml:space="preserve"> </w:t>
      </w:r>
      <w:r>
        <w:t xml:space="preserve">For a statistic</w:t>
      </w:r>
      <w:r>
        <w:t xml:space="preserve"> </w:t>
      </w:r>
      <m:oMath>
        <m:acc>
          <m:accPr>
            <m:chr m:val="̂"/>
          </m:accPr>
          <m:e>
            <m:r>
              <m:t>θ</m:t>
            </m:r>
          </m:e>
        </m:acc>
      </m:oMath>
      <w:r>
        <w:t xml:space="preserve"> </w:t>
      </w:r>
      <w:r>
        <w:t xml:space="preserve">and its bootstrap replicates</w:t>
      </w:r>
      <w:r>
        <w:t xml:space="preserve"> </w:t>
      </w:r>
      <m:oMath>
        <m:sSubSup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1</m:t>
            </m:r>
          </m:sub>
          <m:sup>
            <m:r>
              <m:rPr>
                <m:sty m:val="p"/>
              </m:rPr>
              <m:t>*</m:t>
            </m:r>
          </m:sup>
        </m:sSubSup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Sup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t>B</m:t>
            </m:r>
          </m:sub>
          <m:sup>
            <m:r>
              <m:rPr>
                <m:sty m:val="p"/>
              </m:rPr>
              <m:t>*</m:t>
            </m:r>
          </m:sup>
        </m:sSubSup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bias correction</w:t>
      </w:r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acc>
                <m:accPr>
                  <m:chr m:val="̂"/>
                </m:accPr>
                <m:e>
                  <m:r>
                    <m:t>z</m:t>
                  </m:r>
                </m:e>
              </m:acc>
            </m:e>
            <m:sub>
              <m:r>
                <m:t>0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sSup>
            <m:e>
              <m:r>
                <m:rPr>
                  <m:sty m:val="p"/>
                </m:rPr>
                <m:t>Φ</m:t>
              </m:r>
            </m:e>
            <m:sup>
              <m:r>
                <m:rPr>
                  <m:sty m:val="p"/>
                </m:rPr>
                <m:t>−</m:t>
              </m:r>
              <m:r>
                <m:t>1</m:t>
              </m:r>
            </m:sup>
          </m:sSup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f>
                <m:fPr>
                  <m:type m:val="bar"/>
                </m:fPr>
                <m:num>
                  <m:r>
                    <m:rPr>
                      <m:sty m:val="p"/>
                    </m:rPr>
                    <m:t>#</m:t>
                  </m:r>
                  <m:r>
                    <m:t>​</m:t>
                  </m:r>
                  <m:d>
                    <m:dPr>
                      <m:begChr m:val="{"/>
                      <m:sepChr m:val=""/>
                      <m:endChr m:val="}"/>
                      <m:grow/>
                    </m:dPr>
                    <m:e>
                      <m:r>
                        <m:t>b</m:t>
                      </m:r>
                      <m:r>
                        <m:rPr>
                          <m:sty m:val="p"/>
                        </m:rPr>
                        <m:t>:</m:t>
                      </m:r>
                      <m:sSubSup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θ</m:t>
                              </m:r>
                            </m:e>
                          </m:acc>
                        </m:e>
                        <m:sub>
                          <m:r>
                            <m:t>b</m:t>
                          </m:r>
                        </m:sub>
                        <m:sup>
                          <m:r>
                            <m:rPr>
                              <m:sty m:val="p"/>
                            </m:rPr>
                            <m:t>*</m:t>
                          </m:r>
                        </m:sup>
                      </m:sSubSup>
                      <m:r>
                        <m:rPr>
                          <m:sty m:val="p"/>
                        </m:rPr>
                        <m:t>&lt;</m:t>
                      </m:r>
                      <m:acc>
                        <m:accPr>
                          <m:chr m:val="̂"/>
                        </m:accPr>
                        <m:e>
                          <m:r>
                            <m:t>θ</m:t>
                          </m:r>
                        </m:e>
                      </m:acc>
                    </m:e>
                  </m:d>
                  <m:r>
                    <m:t>​</m:t>
                  </m:r>
                </m:num>
                <m:den>
                  <m:r>
                    <m:t>B</m:t>
                  </m:r>
                </m:den>
              </m:f>
            </m:e>
          </m:d>
          <m:r>
            <m:t>​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rPr>
            <m:sty m:val="p"/>
          </m:rPr>
          <m:t>Φ</m:t>
        </m:r>
      </m:oMath>
      <w:r>
        <w:t xml:space="preserve"> </w:t>
      </w:r>
      <w:r>
        <w:t xml:space="preserve">is the standard Gaussian CDF.</w:t>
      </w:r>
    </w:p>
    <w:bookmarkEnd w:id="31"/>
    <w:bookmarkStart w:id="32" w:name="exm-bca-bias-correction"/>
    <w:p>
      <w:pPr>
        <w:pStyle w:val="BodyText"/>
      </w:pPr>
      <w:r>
        <w:rPr>
          <w:b/>
          <w:bCs/>
        </w:rPr>
        <w:t xml:space="preserve">Example 5 (Bias correction when 40% of replicates fall below the estimate)</w:t>
      </w:r>
      <w:r>
        <w:t xml:space="preserve"> </w:t>
      </w:r>
      <w:r>
        <w:t xml:space="preserve">If 400 of</w:t>
      </w:r>
      <w:r>
        <w:t xml:space="preserve"> </w:t>
      </w:r>
      <m:oMath>
        <m:r>
          <m:t>B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000</m:t>
        </m:r>
      </m:oMath>
      <w:r>
        <w:t xml:space="preserve"> </w:t>
      </w:r>
      <w:r>
        <w:t xml:space="preserve">replicates are below</w:t>
      </w:r>
      <w:r>
        <w:t xml:space="preserve"> </w:t>
      </w:r>
      <m:oMath>
        <m:acc>
          <m:accPr>
            <m:chr m:val="̂"/>
          </m:accPr>
          <m:e>
            <m:r>
              <m:t>θ</m:t>
            </m:r>
          </m:e>
        </m:acc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z</m:t>
                </m:r>
              </m:e>
            </m:acc>
          </m:e>
          <m:sub>
            <m:r>
              <m:t>0</m:t>
            </m:r>
          </m:sub>
        </m:sSub>
        <m:r>
          <m:rPr>
            <m:sty m:val="p"/>
          </m:rPr>
          <m:t>=</m:t>
        </m:r>
        <m:sSup>
          <m:e>
            <m:r>
              <m:rPr>
                <m:sty m:val="p"/>
              </m:rPr>
              <m:t>Φ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(</m:t>
        </m:r>
        <m:r>
          <m:t>0.4</m:t>
        </m:r>
        <m:r>
          <m:rPr>
            <m:sty m:val="p"/>
          </m:rPr>
          <m:t>)</m:t>
        </m:r>
        <m:r>
          <m:rPr>
            <m:sty m:val="p"/>
          </m:rPr>
          <m:t>≈</m:t>
        </m:r>
        <m:r>
          <m:rPr>
            <m:sty m:val="p"/>
          </m:rPr>
          <m:t>−</m:t>
        </m:r>
        <m:r>
          <m:t>0.253</m:t>
        </m:r>
      </m:oMath>
      <w:r>
        <w:t xml:space="preserve">.</w:t>
      </w:r>
      <w:r>
        <w:t xml:space="preserve"> </w:t>
      </w:r>
      <w:r>
        <w:t xml:space="preserve">If exactly half were below,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z</m:t>
                </m:r>
              </m:e>
            </m:acc>
          </m:e>
          <m:sub>
            <m:r>
              <m:t>0</m:t>
            </m:r>
          </m:sub>
        </m:sSub>
        <m:r>
          <m:rPr>
            <m:sty m:val="p"/>
          </m:rPr>
          <m:t>=</m:t>
        </m:r>
        <m:sSup>
          <m:e>
            <m:r>
              <m:rPr>
                <m:sty m:val="p"/>
              </m:rPr>
              <m:t>Φ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  <m:r>
          <m:rPr>
            <m:sty m:val="p"/>
          </m:rPr>
          <m:t>(</m:t>
        </m:r>
        <m:r>
          <m:t>0.5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.</w:t>
      </w:r>
    </w:p>
    <w:bookmarkEnd w:id="32"/>
    <w:bookmarkStart w:id="33" w:name="def-bca-acceleration"/>
    <w:p>
      <w:pPr>
        <w:pStyle w:val="BodyText"/>
      </w:pPr>
      <w:r>
        <w:rPr>
          <w:b/>
          <w:bCs/>
        </w:rPr>
        <w:t xml:space="preserve">Definition 7 (Acceleration of the BCa interval)</w:t>
      </w:r>
      <w:r>
        <w:t xml:space="preserve"> </w:t>
      </w:r>
      <w:r>
        <w:t xml:space="preserve">Let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rPr>
                <m:sty m:val="p"/>
              </m:rPr>
              <m:t>(</m:t>
            </m:r>
            <m:r>
              <m:t>i</m:t>
            </m:r>
            <m:r>
              <m:rPr>
                <m:sty m:val="p"/>
              </m:rPr>
              <m:t>)</m:t>
            </m:r>
          </m:sub>
        </m:sSub>
      </m:oMath>
      <w:r>
        <w:t xml:space="preserve"> </w:t>
      </w:r>
      <w:r>
        <w:t xml:space="preserve">be the statistic computed with observation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deleted,</w:t>
      </w:r>
      <w:r>
        <w:t xml:space="preserve"> </w:t>
      </w:r>
      <w:r>
        <w:t xml:space="preserve">and let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rPr>
                <m:sty m:val="p"/>
              </m:rPr>
              <m:t>(</m:t>
            </m:r>
            <m:r>
              <m:rPr>
                <m:sty m:val="p"/>
              </m:rPr>
              <m:t>⋅</m:t>
            </m:r>
            <m:r>
              <m:rPr>
                <m:sty m:val="p"/>
              </m:rPr>
              <m:t>)</m:t>
            </m:r>
          </m:sub>
        </m:sSub>
      </m:oMath>
      <w:r>
        <w:t xml:space="preserve"> </w:t>
      </w:r>
      <w:r>
        <w:t xml:space="preserve">be the mean of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)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rPr>
                <m:sty m:val="p"/>
              </m:rPr>
              <m:t>(</m:t>
            </m:r>
            <m:r>
              <m:t>n</m:t>
            </m:r>
            <m:r>
              <m:rPr>
                <m:sty m:val="p"/>
              </m:rPr>
              <m:t>)</m:t>
            </m:r>
          </m:sub>
        </m:sSub>
      </m:oMath>
      <w:r>
        <w:t xml:space="preserve">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acceleration</w:t>
      </w:r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t>a</m:t>
              </m:r>
            </m:e>
          </m:acc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nary>
                <m:naryPr>
                  <m:chr m:val="∑"/>
                  <m:limLoc m:val="undOvr"/>
                  <m:subHide m:val="off"/>
                  <m:supHide m:val="off"/>
                </m:naryPr>
                <m:sub>
                  <m:r>
                    <m:t>i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b>
                <m:sup>
                  <m:r>
                    <m:t>n</m:t>
                  </m:r>
                </m:sup>
                <m:e>
                  <m:r>
                    <m:t>​</m:t>
                  </m:r>
                </m:e>
              </m:nary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θ</m:t>
                          </m:r>
                        </m:e>
                      </m:acc>
                    </m:e>
                    <m:sub>
                      <m:r>
                        <m:rPr>
                          <m:sty m:val="p"/>
                        </m:rPr>
                        <m:t>(</m:t>
                      </m:r>
                      <m:r>
                        <m:rPr>
                          <m:sty m:val="p"/>
                        </m:rPr>
                        <m:t>⋅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</m:sSub>
                  <m:r>
                    <m:rPr>
                      <m:sty m:val="p"/>
                    </m:rPr>
                    <m:t>−</m:t>
                  </m:r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θ</m:t>
                          </m:r>
                        </m:e>
                      </m:acc>
                    </m:e>
                    <m:sub>
                      <m:r>
                        <m:rPr>
                          <m:sty m:val="p"/>
                        </m:rPr>
                        <m:t>(</m:t>
                      </m:r>
                      <m:r>
                        <m:t>i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</m:sSub>
                </m:e>
              </m:d>
              <m:sSup>
                <m:e>
                  <m:r>
                    <m:t>​</m:t>
                  </m:r>
                </m:e>
                <m:sup>
                  <m:r>
                    <m:t>3</m:t>
                  </m:r>
                </m:sup>
              </m:sSup>
            </m:num>
            <m:den>
              <m:r>
                <m:t>6</m:t>
              </m:r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nary>
                    <m:naryPr>
                      <m:chr m:val="∑"/>
                      <m:limLoc m:val="undOvr"/>
                      <m:subHide m:val="off"/>
                      <m:supHide m:val="off"/>
                    </m:naryPr>
                    <m:sub>
                      <m:r>
                        <m:t>i</m:t>
                      </m:r>
                      <m:r>
                        <m:rPr>
                          <m:sty m:val="p"/>
                        </m:rPr>
                        <m:t>=</m:t>
                      </m:r>
                      <m:r>
                        <m:t>1</m:t>
                      </m:r>
                    </m:sub>
                    <m:sup>
                      <m:r>
                        <m:t>n</m:t>
                      </m:r>
                    </m:sup>
                    <m:e>
                      <m:r>
                        <m:t>​</m:t>
                      </m:r>
                    </m:e>
                  </m:nary>
                  <m:d>
                    <m:dPr>
                      <m:begChr m:val="("/>
                      <m:sepChr m:val=""/>
                      <m:endChr m:val=")"/>
                      <m:grow/>
                    </m:dPr>
                    <m:e>
                      <m:sSub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θ</m:t>
                              </m:r>
                            </m:e>
                          </m:acc>
                        </m:e>
                        <m:sub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rPr>
                              <m:sty m:val="p"/>
                            </m:rPr>
                            <m:t>⋅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</m:sub>
                      </m:sSub>
                      <m:r>
                        <m:rPr>
                          <m:sty m:val="p"/>
                        </m:rPr>
                        <m:t>−</m:t>
                      </m:r>
                      <m:sSub>
                        <m:e>
                          <m:acc>
                            <m:accPr>
                              <m:chr m:val="̂"/>
                            </m:accPr>
                            <m:e>
                              <m:r>
                                <m:t>θ</m:t>
                              </m:r>
                            </m:e>
                          </m:acc>
                        </m:e>
                        <m:sub>
                          <m:r>
                            <m:rPr>
                              <m:sty m:val="p"/>
                            </m:rPr>
                            <m:t>(</m:t>
                          </m:r>
                          <m:r>
                            <m:t>i</m:t>
                          </m:r>
                          <m:r>
                            <m:rPr>
                              <m:sty m:val="p"/>
                            </m:rPr>
                            <m:t>)</m:t>
                          </m:r>
                        </m:sub>
                      </m:sSub>
                    </m:e>
                  </m:d>
                  <m:sSup>
                    <m:e>
                      <m:r>
                        <m:t>​</m:t>
                      </m:r>
                    </m:e>
                    <m:sup>
                      <m:r>
                        <m:t>2</m:t>
                      </m:r>
                    </m:sup>
                  </m:sSup>
                </m:e>
              </m:d>
              <m:sSup>
                <m:e>
                  <m:r>
                    <m:t>​</m:t>
                  </m:r>
                </m:e>
                <m:sup>
                  <m:r>
                    <m:t>3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</m:sSup>
            </m:den>
          </m:f>
          <m:r>
            <m:rPr>
              <m:sty m:val="p"/>
            </m:rPr>
            <m:t>.</m:t>
          </m:r>
        </m:oMath>
      </m:oMathPara>
    </w:p>
    <w:bookmarkEnd w:id="33"/>
    <w:bookmarkStart w:id="34" w:name="exm-bca-acceleration"/>
    <w:p>
      <w:pPr>
        <w:pStyle w:val="FirstParagraph"/>
      </w:pPr>
      <w:r>
        <w:rPr>
          <w:b/>
          <w:bCs/>
        </w:rPr>
        <w:t xml:space="preserve">Example 6 (Acceleration from three deleted estimates)</w:t>
      </w:r>
      <w:r>
        <w:t xml:space="preserve"> </w:t>
      </w:r>
      <w:r>
        <w:t xml:space="preserve">If the differences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rPr>
                <m:sty m:val="p"/>
              </m:rPr>
              <m:t>(</m:t>
            </m:r>
            <m:r>
              <m:rPr>
                <m:sty m:val="p"/>
              </m:rPr>
              <m:t>⋅</m:t>
            </m:r>
            <m:r>
              <m:rPr>
                <m:sty m:val="p"/>
              </m:rPr>
              <m:t>)</m:t>
            </m:r>
          </m:sub>
        </m:sSub>
        <m:r>
          <m:rPr>
            <m:sty m:val="p"/>
          </m:rPr>
          <m:t>−</m:t>
        </m:r>
        <m:sSub>
          <m:e>
            <m:acc>
              <m:accPr>
                <m:chr m:val="̂"/>
              </m:accPr>
              <m:e>
                <m:r>
                  <m:t>θ</m:t>
                </m:r>
              </m:e>
            </m:acc>
          </m:e>
          <m:sub>
            <m:r>
              <m:rPr>
                <m:sty m:val="p"/>
              </m:rPr>
              <m:t>(</m:t>
            </m:r>
            <m:r>
              <m:t>i</m:t>
            </m:r>
            <m:r>
              <m:rPr>
                <m:sty m:val="p"/>
              </m:rPr>
              <m:t>)</m:t>
            </m:r>
          </m:sub>
        </m:sSub>
      </m:oMath>
      <w:r>
        <w:t xml:space="preserve"> </w:t>
      </w:r>
      <w:r>
        <w:t xml:space="preserve">are</w:t>
      </w:r>
      <w:r>
        <w:t xml:space="preserve"> </w:t>
      </w:r>
      <m:oMath>
        <m:r>
          <m:t>1</m:t>
        </m:r>
      </m:oMath>
      <w:r>
        <w:t xml:space="preserve">,</w:t>
      </w:r>
      <w:r>
        <w:t xml:space="preserve"> </w:t>
      </w:r>
      <m:oMath>
        <m:r>
          <m:t>1</m:t>
        </m:r>
      </m:oMath>
      <w:r>
        <w:t xml:space="preserve">, and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,</w:t>
      </w:r>
      <w:r>
        <w:t xml:space="preserve"> </w:t>
      </w:r>
      <w:r>
        <w:t xml:space="preserve">the sum of their cubes is</w:t>
      </w:r>
      <w:r>
        <w:t xml:space="preserve"> </w:t>
      </w:r>
      <m:oMath>
        <m:r>
          <m:t>1</m:t>
        </m:r>
        <m:r>
          <m:rPr>
            <m:sty m:val="p"/>
          </m:rPr>
          <m:t>+</m:t>
        </m:r>
        <m:r>
          <m:t>1</m:t>
        </m:r>
        <m:r>
          <m:rPr>
            <m:sty m:val="p"/>
          </m:rPr>
          <m:t>−</m:t>
        </m:r>
        <m:r>
          <m:t>8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6</m:t>
        </m:r>
      </m:oMath>
      <w:r>
        <w:t xml:space="preserve"> </w:t>
      </w:r>
      <w:r>
        <w:t xml:space="preserve">and the sum of their squares is</w:t>
      </w:r>
      <w:r>
        <w:t xml:space="preserve"> </w:t>
      </w:r>
      <m:oMath>
        <m:r>
          <m:t>6</m:t>
        </m:r>
      </m:oMath>
      <w:r>
        <w:t xml:space="preserve">, so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t>a</m:t>
              </m:r>
            </m:e>
          </m:acc>
          <m:r>
            <m:rPr>
              <m:sty m:val="p"/>
            </m:rPr>
            <m:t>=</m:t>
          </m:r>
          <m:f>
            <m:fPr>
              <m:type m:val="bar"/>
            </m:fPr>
            <m:num>
              <m:r>
                <m:rPr>
                  <m:sty m:val="p"/>
                </m:rPr>
                <m:t>−</m:t>
              </m:r>
              <m:r>
                <m:t>6</m:t>
              </m:r>
            </m:num>
            <m:den>
              <m:r>
                <m:t>6</m:t>
              </m:r>
              <m:r>
                <m:rPr>
                  <m:sty m:val="p"/>
                </m:rPr>
                <m:t>⋅</m:t>
              </m:r>
              <m:sSup>
                <m:e>
                  <m:r>
                    <m:t>6</m:t>
                  </m:r>
                </m:e>
                <m:sup>
                  <m:r>
                    <m:t>3</m:t>
                  </m:r>
                  <m:r>
                    <m:rPr>
                      <m:sty m:val="p"/>
                    </m:rPr>
                    <m:t>/</m:t>
                  </m:r>
                  <m:r>
                    <m:t>2</m:t>
                  </m:r>
                </m:sup>
              </m:sSup>
            </m:den>
          </m:f>
          <m:r>
            <m:rPr>
              <m:sty m:val="p"/>
            </m:rPr>
            <m:t>≈</m:t>
          </m:r>
          <m:r>
            <m:rPr>
              <m:sty m:val="p"/>
            </m:rPr>
            <m:t>−</m:t>
          </m:r>
          <m:r>
            <m:t>0.068</m:t>
          </m:r>
          <m:r>
            <m:rPr>
              <m:sty m:val="p"/>
            </m:rPr>
            <m:t>.</m:t>
          </m:r>
        </m:oMath>
      </m:oMathPara>
    </w:p>
    <w:bookmarkEnd w:id="34"/>
    <w:bookmarkStart w:id="35" w:name="def-bootstrap-ci-bca"/>
    <w:p>
      <w:pPr>
        <w:pStyle w:val="FirstParagraph"/>
      </w:pPr>
      <w:r>
        <w:rPr>
          <w:b/>
          <w:bCs/>
        </w:rPr>
        <w:t xml:space="preserve">Definition 8 (Bias-corrected and accelerated bootstrap confidence interval)</w:t>
      </w:r>
      <w:r>
        <w:t xml:space="preserve"> </w:t>
      </w:r>
      <w:r>
        <w:t xml:space="preserve">With the</w:t>
      </w:r>
      <w:r>
        <w:t xml:space="preserve"> </w:t>
      </w:r>
      <w:hyperlink w:anchor="def-bca-bias-correction">
        <w:r>
          <w:rPr>
            <w:rStyle w:val="Hyperlink"/>
          </w:rPr>
          <w:t xml:space="preserve">bias correction</w:t>
        </w:r>
      </w:hyperlink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z</m:t>
                </m:r>
              </m:e>
            </m:acc>
          </m:e>
          <m:sub>
            <m:r>
              <m:t>0</m:t>
            </m:r>
          </m:sub>
        </m:sSub>
      </m:oMath>
      <w:r>
        <w:t xml:space="preserve"> </w:t>
      </w:r>
      <w:r>
        <w:t xml:space="preserve">and the</w:t>
      </w:r>
      <w:r>
        <w:t xml:space="preserve"> </w:t>
      </w:r>
      <w:hyperlink w:anchor="def-bca-acceleration">
        <w:r>
          <w:rPr>
            <w:rStyle w:val="Hyperlink"/>
          </w:rPr>
          <w:t xml:space="preserve">acceleration</w:t>
        </w:r>
      </w:hyperlink>
      <w:r>
        <w:t xml:space="preserve"> </w:t>
      </w:r>
      <m:oMath>
        <m:acc>
          <m:accPr>
            <m:chr m:val="̂"/>
          </m:accPr>
          <m:e>
            <m:r>
              <m:t>a</m:t>
            </m:r>
          </m:e>
        </m:acc>
      </m:oMath>
      <w:r>
        <w:t xml:space="preserve">,</w:t>
      </w:r>
      <w:r>
        <w:t xml:space="preserve"> </w:t>
      </w:r>
      <w:r>
        <w:t xml:space="preserve">for</w:t>
      </w:r>
      <w:r>
        <w:t xml:space="preserve"> </w:t>
      </w:r>
      <m:oMath>
        <m:r>
          <m:t>q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α</m:t>
            </m:r>
            <m:r>
              <m:rPr>
                <m:sty m:val="p"/>
              </m:rPr>
              <m:t>/</m:t>
            </m:r>
            <m:r>
              <m:t>2</m:t>
            </m:r>
            <m:r>
              <m:rPr>
                <m:sty m:val="p"/>
              </m:rPr>
              <m:t>,</m:t>
            </m:r>
            <m:r>
              <m:t>1</m:t>
            </m:r>
            <m:r>
              <m:rPr>
                <m:sty m:val="p"/>
              </m:rPr>
              <m:t>−</m:t>
            </m:r>
            <m:r>
              <m:t>α</m:t>
            </m:r>
            <m:r>
              <m:rPr>
                <m:sty m:val="p"/>
              </m:rPr>
              <m:t>/</m:t>
            </m:r>
            <m:r>
              <m:t>2</m:t>
            </m:r>
          </m:e>
        </m:d>
        <m:r>
          <m:t>​</m:t>
        </m:r>
      </m:oMath>
      <w:r>
        <w:t xml:space="preserve">, let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α</m:t>
              </m:r>
            </m:e>
            <m:sub>
              <m:r>
                <m:t>q</m:t>
              </m:r>
            </m:sub>
          </m:sSub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Φ</m:t>
          </m:r>
          <m:r>
            <m:t>​</m:t>
          </m:r>
          <m:d>
            <m:dPr>
              <m:begChr m:val="("/>
              <m:sepChr m:val=""/>
              <m:endChr m:val=")"/>
              <m:grow/>
            </m:dPr>
            <m:e>
              <m:sSub>
                <m:e>
                  <m:acc>
                    <m:accPr>
                      <m:chr m:val="̂"/>
                    </m:accPr>
                    <m:e>
                      <m:r>
                        <m:t>z</m:t>
                      </m:r>
                    </m:e>
                  </m:acc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+</m:t>
              </m:r>
              <m:f>
                <m:fPr>
                  <m:type m:val="bar"/>
                </m:fPr>
                <m:num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z</m:t>
                          </m:r>
                        </m:e>
                      </m:acc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z</m:t>
                      </m:r>
                    </m:e>
                    <m:sub>
                      <m:r>
                        <m:t>q</m:t>
                      </m:r>
                    </m:sub>
                  </m:sSub>
                </m:num>
                <m:den>
                  <m:r>
                    <m:t>1</m:t>
                  </m:r>
                  <m:r>
                    <m:rPr>
                      <m:sty m:val="p"/>
                    </m:rPr>
                    <m:t>−</m:t>
                  </m:r>
                  <m:acc>
                    <m:accPr>
                      <m:chr m:val="̂"/>
                    </m:accPr>
                    <m:e>
                      <m:r>
                        <m:t>a</m:t>
                      </m:r>
                    </m:e>
                  </m:acc>
                  <m:r>
                    <m:rPr>
                      <m:sty m:val="p"/>
                    </m:rPr>
                    <m:t>(</m:t>
                  </m:r>
                  <m:sSub>
                    <m:e>
                      <m:acc>
                        <m:accPr>
                          <m:chr m:val="̂"/>
                        </m:accPr>
                        <m:e>
                          <m:r>
                            <m:t>z</m:t>
                          </m:r>
                        </m:e>
                      </m:acc>
                    </m:e>
                    <m:sub>
                      <m:r>
                        <m:t>0</m:t>
                      </m:r>
                    </m:sub>
                  </m:sSub>
                  <m:r>
                    <m:rPr>
                      <m:sty m:val="p"/>
                    </m:rPr>
                    <m:t>+</m:t>
                  </m:r>
                  <m:sSub>
                    <m:e>
                      <m:r>
                        <m:t>z</m:t>
                      </m:r>
                    </m:e>
                    <m:sub>
                      <m:r>
                        <m:t>q</m:t>
                      </m:r>
                    </m:sub>
                  </m:sSub>
                  <m:r>
                    <m:rPr>
                      <m:sty m:val="p"/>
                    </m:rPr>
                    <m:t>)</m:t>
                  </m:r>
                </m:den>
              </m:f>
            </m:e>
          </m:d>
          <m:r>
            <m:t>​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The</w:t>
      </w:r>
      <w:r>
        <w:t xml:space="preserve"> </w:t>
      </w:r>
      <w:r>
        <w:rPr>
          <w:b/>
          <w:bCs/>
        </w:rPr>
        <w:t xml:space="preserve">bias-corrected and accelerated (BCa) bootstrap confidence interval</w:t>
      </w:r>
      <w:r>
        <w:t xml:space="preserve"> </w:t>
      </w:r>
      <w:r>
        <w:t xml:space="preserve">runs from the</w:t>
      </w:r>
      <w:r>
        <w:t xml:space="preserve"> </w:t>
      </w:r>
      <m:oMath>
        <m:sSub>
          <m:e>
            <m:r>
              <m:t>α</m:t>
            </m:r>
          </m:e>
          <m:sub>
            <m:r>
              <m:t>α</m:t>
            </m:r>
            <m:r>
              <m:rPr>
                <m:sty m:val="p"/>
              </m:rPr>
              <m:t>/</m:t>
            </m:r>
            <m:r>
              <m:t>2</m:t>
            </m:r>
          </m:sub>
        </m:sSub>
      </m:oMath>
      <w:r>
        <w:t xml:space="preserve"> </w:t>
      </w:r>
      <w:r>
        <w:t xml:space="preserve">quantile</w:t>
      </w:r>
      <w:r>
        <w:t xml:space="preserve"> </w:t>
      </w:r>
      <w:r>
        <w:t xml:space="preserve">to the</w:t>
      </w:r>
      <w:r>
        <w:t xml:space="preserve"> </w:t>
      </w:r>
      <m:oMath>
        <m:sSub>
          <m:e>
            <m:r>
              <m:t>α</m:t>
            </m:r>
          </m:e>
          <m:sub>
            <m:r>
              <m:t>1</m:t>
            </m:r>
            <m:r>
              <m:rPr>
                <m:sty m:val="p"/>
              </m:rPr>
              <m:t>−</m:t>
            </m:r>
            <m:r>
              <m:t>α</m:t>
            </m:r>
            <m:r>
              <m:rPr>
                <m:sty m:val="p"/>
              </m:rPr>
              <m:t>/</m:t>
            </m:r>
            <m:r>
              <m:t>2</m:t>
            </m:r>
          </m:sub>
        </m:sSub>
      </m:oMath>
      <w:r>
        <w:t xml:space="preserve"> </w:t>
      </w:r>
      <w:r>
        <w:t xml:space="preserve">quantile</w:t>
      </w:r>
      <w:r>
        <w:t xml:space="preserve"> </w:t>
      </w:r>
      <w:r>
        <w:t xml:space="preserve">of the bootstrap replicates</w:t>
      </w:r>
      <w:r>
        <w:t xml:space="preserve"> </w:t>
      </w:r>
      <w:r>
        <w:t xml:space="preserve">(Efron and Tibshirani 1993, chap. 14)</w:t>
      </w:r>
      <w:r>
        <w:t xml:space="preserve">.</w:t>
      </w:r>
    </w:p>
    <w:bookmarkEnd w:id="35"/>
    <w:p>
      <w:pPr>
        <w:pStyle w:val="BodyText"/>
      </w:pPr>
      <w:r>
        <w:t xml:space="preserve">When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z</m:t>
                </m:r>
              </m:e>
            </m:acc>
          </m:e>
          <m:sub>
            <m:r>
              <m:t>0</m:t>
            </m:r>
          </m:sub>
        </m:sSub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a</m:t>
            </m:r>
          </m:e>
        </m:acc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sSub>
          <m:e>
            <m:r>
              <m:t>α</m:t>
            </m:r>
          </m:e>
          <m:sub>
            <m:r>
              <m:t>q</m:t>
            </m:r>
          </m:sub>
        </m:sSub>
        <m:r>
          <m:rPr>
            <m:sty m:val="p"/>
          </m:rPr>
          <m:t>=</m:t>
        </m:r>
        <m:r>
          <m:t>q</m:t>
        </m:r>
      </m:oMath>
      <w:r>
        <w:t xml:space="preserve"> </w:t>
      </w:r>
      <w:r>
        <w:t xml:space="preserve">and the BCa interval is the percentile interval</w:t>
      </w:r>
      <w:r>
        <w:t xml:space="preserve"> </w:t>
      </w:r>
      <w:r>
        <w:t xml:space="preserve">(</w:t>
      </w:r>
      <w:hyperlink w:anchor="def-bootstrap-ci-percentile">
        <w:r>
          <w:rPr>
            <w:rStyle w:val="Hyperlink"/>
          </w:rPr>
          <w:t xml:space="preserve">Definition 5</w:t>
        </w:r>
      </w:hyperlink>
      <w:r>
        <w:t xml:space="preserve">).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z</m:t>
                </m:r>
              </m:e>
            </m:acc>
          </m:e>
          <m:sub>
            <m:r>
              <m:t>0</m:t>
            </m:r>
          </m:sub>
        </m:sSub>
      </m:oMath>
      <w:r>
        <w:t xml:space="preserve"> </w:t>
      </w:r>
      <w:r>
        <w:t xml:space="preserve">measures how far the bootstrap distribution’s median</w:t>
      </w:r>
      <w:r>
        <w:t xml:space="preserve"> </w:t>
      </w:r>
      <w:r>
        <w:t xml:space="preserve">sits from</w:t>
      </w:r>
      <w:r>
        <w:t xml:space="preserve"> </w:t>
      </w:r>
      <m:oMath>
        <m:acc>
          <m:accPr>
            <m:chr m:val="̂"/>
          </m:accPr>
          <m:e>
            <m:r>
              <m:t>θ</m:t>
            </m:r>
          </m:e>
        </m:acc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a</m:t>
            </m:r>
          </m:e>
        </m:acc>
      </m:oMath>
      <w:r>
        <w:t xml:space="preserve"> </w:t>
      </w:r>
      <w:r>
        <w:t xml:space="preserve">measures its skewness,</w:t>
      </w:r>
      <w:r>
        <w:t xml:space="preserve"> </w:t>
      </w:r>
      <w:r>
        <w:t xml:space="preserve">so the BCa interval shifts the percentile interval</w:t>
      </w:r>
      <w:r>
        <w:t xml:space="preserve"> </w:t>
      </w:r>
      <w:r>
        <w:t xml:space="preserve">to correct for both.</w:t>
      </w:r>
    </w:p>
    <w:bookmarkStart w:id="36" w:name="exm-bootstrap-bca-toy"/>
    <w:p>
      <w:pPr>
        <w:pStyle w:val="BodyText"/>
      </w:pPr>
      <w:r>
        <w:rPr>
          <w:b/>
          <w:bCs/>
        </w:rPr>
        <w:t xml:space="preserve">Example 7 (BCa bootstrap interval for the mean of ten glucose values)</w:t>
      </w:r>
      <w:r>
        <w:t xml:space="preserve"> </w:t>
      </w:r>
      <w:r>
        <w:t xml:space="preserve">Continuing</w:t>
      </w:r>
      <w:r>
        <w:t xml:space="preserve"> </w:t>
      </w:r>
      <w:hyperlink w:anchor="exm-bootstrap-distribution-toy">
        <w:r>
          <w:rPr>
            <w:rStyle w:val="Hyperlink"/>
          </w:rPr>
          <w:t xml:space="preserve">Example 2</w:t>
        </w:r>
      </w:hyperlink>
      <w:r>
        <w:t xml:space="preserve">,</w:t>
      </w:r>
      <w:r>
        <w:t xml:space="preserve"> </w:t>
      </w:r>
      <w:r>
        <w:t xml:space="preserve">the quantities of</w:t>
      </w:r>
      <w:r>
        <w:t xml:space="preserve"> </w:t>
      </w:r>
      <w:hyperlink w:anchor="def-bootstrap-ci-bca">
        <w:r>
          <w:rPr>
            <w:rStyle w:val="Hyperlink"/>
          </w:rPr>
          <w:t xml:space="preserve">Definition 8</w:t>
        </w:r>
      </w:hyperlink>
      <w:r>
        <w:t xml:space="preserve">, step by step:</w:t>
      </w:r>
    </w:p>
    <w:p>
      <w:pPr>
        <w:pStyle w:val="SourceCode"/>
      </w:pPr>
      <w:r>
        <w:rPr>
          <w:rStyle w:val="NormalTok"/>
        </w:rPr>
        <w:t xml:space="preserve">z0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qnorm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(boot_means10 </w:t>
      </w:r>
      <w:r>
        <w:rPr>
          <w:rStyle w:val="SpecialCharTok"/>
        </w:rPr>
        <w:t xml:space="preserve">&lt;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(glucose10)))</w:t>
      </w:r>
      <w:r>
        <w:br/>
      </w:r>
      <w:r>
        <w:rPr>
          <w:rStyle w:val="NormalTok"/>
        </w:rPr>
        <w:t xml:space="preserve">jackknife_means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vapply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SpecialCharTok"/>
        </w:rPr>
        <w:t xml:space="preserve">: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, \(i)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(glucose10[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i]), </w:t>
      </w:r>
      <w:r>
        <w:rPr>
          <w:rStyle w:val="FunctionTok"/>
        </w:rPr>
        <w:t xml:space="preserve">numeric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dev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mean</w:t>
      </w:r>
      <w:r>
        <w:rPr>
          <w:rStyle w:val="NormalTok"/>
        </w:rPr>
        <w:t xml:space="preserve">(jackknife_means)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jackknife_means</w:t>
      </w:r>
      <w:r>
        <w:br/>
      </w:r>
      <w:r>
        <w:rPr>
          <w:rStyle w:val="NormalTok"/>
        </w:rPr>
        <w:t xml:space="preserve">a_hat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(dev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sum</w:t>
      </w:r>
      <w:r>
        <w:rPr>
          <w:rStyle w:val="NormalTok"/>
        </w:rPr>
        <w:t xml:space="preserve">(dev</w:t>
      </w:r>
      <w:r>
        <w:rPr>
          <w:rStyle w:val="SpecialCharTok"/>
        </w:rPr>
        <w:t xml:space="preserve">^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</w:t>
      </w:r>
      <w:r>
        <w:rPr>
          <w:rStyle w:val="SpecialCharTok"/>
        </w:rPr>
        <w:t xml:space="preserve">^</w:t>
      </w:r>
      <w:r>
        <w:rPr>
          <w:rStyle w:val="NormalTok"/>
        </w:rPr>
        <w:t xml:space="preserve">(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z_q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qnorm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0.025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0.975</w:t>
      </w:r>
      <w:r>
        <w:rPr>
          <w:rStyle w:val="NormalTok"/>
        </w:rPr>
        <w:t xml:space="preserve">))</w:t>
      </w:r>
      <w:r>
        <w:br/>
      </w:r>
      <w:r>
        <w:rPr>
          <w:rStyle w:val="NormalTok"/>
        </w:rPr>
        <w:t xml:space="preserve">alpha_q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pnorm</w:t>
      </w:r>
      <w:r>
        <w:rPr>
          <w:rStyle w:val="NormalTok"/>
        </w:rPr>
        <w:t xml:space="preserve">(z0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(z0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z_q) </w:t>
      </w:r>
      <w:r>
        <w:rPr>
          <w:rStyle w:val="SpecialCharTok"/>
        </w:rPr>
        <w:t xml:space="preserve">/</w:t>
      </w:r>
      <w:r>
        <w:rPr>
          <w:rStyle w:val="NormalTok"/>
        </w:rPr>
        <w:t xml:space="preserve"> 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SpecialCharTok"/>
        </w:rPr>
        <w:t xml:space="preserve">-</w:t>
      </w:r>
      <w:r>
        <w:rPr>
          <w:rStyle w:val="NormalTok"/>
        </w:rPr>
        <w:t xml:space="preserve"> a_hat </w:t>
      </w:r>
      <w:r>
        <w:rPr>
          <w:rStyle w:val="SpecialCharTok"/>
        </w:rPr>
        <w:t xml:space="preserve">*</w:t>
      </w:r>
      <w:r>
        <w:rPr>
          <w:rStyle w:val="NormalTok"/>
        </w:rPr>
        <w:t xml:space="preserve"> (z0 </w:t>
      </w:r>
      <w:r>
        <w:rPr>
          <w:rStyle w:val="SpecialCharTok"/>
        </w:rPr>
        <w:t xml:space="preserve">+</w:t>
      </w:r>
      <w:r>
        <w:rPr>
          <w:rStyle w:val="NormalTok"/>
        </w:rPr>
        <w:t xml:space="preserve"> z_q)))</w:t>
      </w:r>
      <w:r>
        <w:br/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z_0 =</w:t>
      </w:r>
      <w:r>
        <w:rPr>
          <w:rStyle w:val="NormalTok"/>
        </w:rPr>
        <w:t xml:space="preserve"> z0, </w:t>
      </w:r>
      <w:r>
        <w:rPr>
          <w:rStyle w:val="AttributeTok"/>
        </w:rPr>
        <w:t xml:space="preserve">a_hat =</w:t>
      </w:r>
      <w:r>
        <w:rPr>
          <w:rStyle w:val="NormalTok"/>
        </w:rPr>
        <w:t xml:space="preserve"> a_hat, </w:t>
      </w:r>
      <w:r>
        <w:rPr>
          <w:rStyle w:val="AttributeTok"/>
        </w:rPr>
        <w:t xml:space="preserve">alpha_lower =</w:t>
      </w:r>
      <w:r>
        <w:rPr>
          <w:rStyle w:val="NormalTok"/>
        </w:rPr>
        <w:t xml:space="preserve"> alpha_q[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], </w:t>
      </w:r>
      <w:r>
        <w:rPr>
          <w:rStyle w:val="AttributeTok"/>
        </w:rPr>
        <w:t xml:space="preserve">alpha_upper =</w:t>
      </w:r>
      <w:r>
        <w:rPr>
          <w:rStyle w:val="NormalTok"/>
        </w:rPr>
        <w:t xml:space="preserve"> alpha_q[</w:t>
      </w:r>
      <w:r>
        <w:rPr>
          <w:rStyle w:val="DecValTok"/>
        </w:rPr>
        <w:t xml:space="preserve">2</w:t>
      </w:r>
      <w:r>
        <w:rPr>
          <w:rStyle w:val="NormalTok"/>
        </w:rPr>
        <w:t xml:space="preserve">])</w:t>
      </w:r>
      <w:r>
        <w:br/>
      </w:r>
      <w:r>
        <w:rPr>
          <w:rStyle w:val="CommentTok"/>
        </w:rPr>
        <w:t xml:space="preserve">#&gt;         z_0       a_hat alpha_lower alpha_upper </w:t>
      </w:r>
      <w:r>
        <w:br/>
      </w:r>
      <w:r>
        <w:rPr>
          <w:rStyle w:val="CommentTok"/>
        </w:rPr>
        <w:t xml:space="preserve">#&gt;  0.01002668 -0.00867722  0.02422093  0.97422713</w:t>
      </w:r>
      <w:r>
        <w:br/>
      </w:r>
      <w:r>
        <w:rPr>
          <w:rStyle w:val="FunctionTok"/>
        </w:rPr>
        <w:t xml:space="preserve">quantile</w:t>
      </w:r>
      <w:r>
        <w:rPr>
          <w:rStyle w:val="NormalTok"/>
        </w:rPr>
        <w:t xml:space="preserve">(boot_means10, alpha_q)</w:t>
      </w:r>
      <w:r>
        <w:br/>
      </w:r>
      <w:r>
        <w:rPr>
          <w:rStyle w:val="CommentTok"/>
        </w:rPr>
        <w:t xml:space="preserve">#&gt; 2.422093% 97.42271% </w:t>
      </w:r>
      <w:r>
        <w:br/>
      </w:r>
      <w:r>
        <w:rPr>
          <w:rStyle w:val="CommentTok"/>
        </w:rPr>
        <w:t xml:space="preserve">#&gt;      96.5     110.4</w:t>
      </w:r>
    </w:p>
    <w:p>
      <w:pPr>
        <w:pStyle w:val="FirstParagraph"/>
      </w:pPr>
      <w:r>
        <w:t xml:space="preserve">The acceleration</w:t>
      </w:r>
      <w:r>
        <w:t xml:space="preserve"> </w:t>
      </w:r>
      <m:oMath>
        <m:acc>
          <m:accPr>
            <m:chr m:val="̂"/>
          </m:accPr>
          <m:e>
            <m:r>
              <m:t>a</m:t>
            </m:r>
          </m:e>
        </m:acc>
      </m:oMath>
      <w:r>
        <w:t xml:space="preserve"> </w:t>
      </w:r>
      <w:r>
        <w:t xml:space="preserve">is nearly 0 here,</w:t>
      </w:r>
      <w:r>
        <w:t xml:space="preserve"> </w:t>
      </w:r>
      <w:r>
        <w:t xml:space="preserve">and</w:t>
      </w:r>
      <w:r>
        <w:t xml:space="preserve"> </w:t>
      </w:r>
      <m:oMath>
        <m:sSub>
          <m:e>
            <m:acc>
              <m:accPr>
                <m:chr m:val="̂"/>
              </m:accPr>
              <m:e>
                <m:r>
                  <m:t>z</m:t>
                </m:r>
              </m:e>
            </m:acc>
          </m:e>
          <m:sub>
            <m:r>
              <m:t>0</m:t>
            </m:r>
          </m:sub>
        </m:sSub>
      </m:oMath>
      <w:r>
        <w:t xml:space="preserve"> </w:t>
      </w:r>
      <w:r>
        <w:t xml:space="preserve">is small,</w:t>
      </w:r>
      <w:r>
        <w:t xml:space="preserve"> </w:t>
      </w:r>
      <w:r>
        <w:t xml:space="preserve">so the BCa interval is close to the percentile interval</w:t>
      </w:r>
      <w:r>
        <w:t xml:space="preserve"> </w:t>
      </w:r>
      <w:r>
        <w:t xml:space="preserve">of</w:t>
      </w:r>
      <w:r>
        <w:t xml:space="preserve"> </w:t>
      </w:r>
      <w:hyperlink w:anchor="exm-bootstrap-percentile-toy">
        <w:r>
          <w:rPr>
            <w:rStyle w:val="Hyperlink"/>
          </w:rPr>
          <w:t xml:space="preserve">Example 4</w:t>
        </w:r>
      </w:hyperlink>
      <w:r>
        <w:t xml:space="preserve">.</w:t>
      </w:r>
    </w:p>
    <w:bookmarkEnd w:id="36"/>
    <w:bookmarkEnd w:id="37"/>
    <w:bookmarkEnd w:id="38"/>
    <w:bookmarkStart w:id="39" w:name="sec-bootstrap-R"/>
    <w:p>
      <w:pPr>
        <w:pStyle w:val="Heading3"/>
      </w:pPr>
      <w:r>
        <w:t xml:space="preserve">2.4 The boot package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rStyle w:val="VerbatimChar"/>
        </w:rPr>
        <w:t xml:space="preserve">boot</w:t>
      </w:r>
      <w:r>
        <w:t xml:space="preserve"> </w:t>
      </w:r>
      <w:r>
        <w:t xml:space="preserve">package</w:t>
      </w:r>
      <w:r>
        <w:t xml:space="preserve"> </w:t>
      </w:r>
      <w:r>
        <w:t xml:space="preserve">(Davison and Hinkley 1997)</w:t>
      </w:r>
      <w:r>
        <w:t xml:space="preserve">,</w:t>
      </w:r>
      <w:r>
        <w:t xml:space="preserve"> </w:t>
      </w:r>
      <w:r>
        <w:t xml:space="preserve">a recommended package distributed with R,</w:t>
      </w:r>
      <w:r>
        <w:t xml:space="preserve"> </w:t>
      </w:r>
      <w:r>
        <w:t xml:space="preserve">provides</w:t>
      </w:r>
      <w:r>
        <w:t xml:space="preserve"> </w:t>
      </w:r>
      <w:r>
        <w:rPr>
          <w:rStyle w:val="VerbatimChar"/>
        </w:rPr>
        <w:t xml:space="preserve">boot::boot()</w:t>
      </w:r>
      <w:r>
        <w:t xml:space="preserve"> </w:t>
      </w:r>
      <w:r>
        <w:t xml:space="preserve">to draw the bootstrap replicates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boot::boot.ci()</w:t>
      </w:r>
      <w:r>
        <w:t xml:space="preserve"> </w:t>
      </w:r>
      <w:r>
        <w:t xml:space="preserve">to compute the three intervals.</w:t>
      </w:r>
      <w:r>
        <w:t xml:space="preserve"> </w:t>
      </w:r>
      <w:r>
        <w:rPr>
          <w:rStyle w:val="VerbatimChar"/>
        </w:rPr>
        <w:t xml:space="preserve">boot::boot.ci()</w:t>
      </w:r>
      <w:r>
        <w:t xml:space="preserve"> </w:t>
      </w:r>
      <w:r>
        <w:t xml:space="preserve">differs from the definitions on this page</w:t>
      </w:r>
      <w:r>
        <w:t xml:space="preserve"> </w:t>
      </w:r>
      <w:r>
        <w:t xml:space="preserve">in two small ways:</w:t>
      </w:r>
    </w:p>
    <w:p>
      <w:pPr>
        <w:pStyle w:val="Compact"/>
        <w:numPr>
          <w:ilvl w:val="0"/>
          <w:numId w:val="1002"/>
        </w:numPr>
      </w:pPr>
      <w:r>
        <w:t xml:space="preserve">its normal interval (</w:t>
      </w:r>
      <w:r>
        <w:rPr>
          <w:rStyle w:val="VerbatimChar"/>
        </w:rPr>
        <w:t xml:space="preserve">type = "norm"</w:t>
      </w:r>
      <w:r>
        <w:t xml:space="preserve">) is centered at</w:t>
      </w:r>
      <w:r>
        <w:t xml:space="preserve"> </w:t>
      </w:r>
      <m:oMath>
        <m:acc>
          <m:accPr>
            <m:chr m:val="̂"/>
          </m:accPr>
          <m:e>
            <m:r>
              <m:t>θ</m:t>
            </m:r>
          </m:e>
        </m:acc>
      </m:oMath>
      <w:r>
        <w:t xml:space="preserve"> </w:t>
      </w:r>
      <w:r>
        <w:t xml:space="preserve">minus the bootstrap estimate of bias,</w:t>
      </w:r>
      <w:r>
        <w:t xml:space="preserve"> </w:t>
      </w:r>
      <m:oMath>
        <m:acc>
          <m:accPr>
            <m:chr m:val="̂"/>
          </m:accPr>
          <m:e>
            <m:r>
              <m:t>θ</m:t>
            </m:r>
          </m:e>
        </m:acc>
        <m:r>
          <m:rPr>
            <m:sty m:val="p"/>
          </m:rPr>
          <m:t>−</m:t>
        </m:r>
        <m:r>
          <m:rPr>
            <m:sty m:val="p"/>
          </m:rPr>
          <m:t>(</m:t>
        </m:r>
        <m:sSup>
          <m:e>
            <m:acc>
              <m:accPr>
                <m:chr m:val="‾"/>
              </m:accPr>
              <m:e>
                <m:r>
                  <m:t>θ</m:t>
                </m:r>
              </m:e>
            </m:acc>
          </m:e>
          <m:sup>
            <m:r>
              <m:rPr>
                <m:sty m:val="p"/>
              </m:rPr>
              <m:t>*</m:t>
            </m:r>
          </m:sup>
        </m:sSup>
        <m:r>
          <m:rPr>
            <m:sty m:val="p"/>
          </m:rPr>
          <m:t>−</m:t>
        </m:r>
        <m:acc>
          <m:accPr>
            <m:chr m:val="̂"/>
          </m:accPr>
          <m:e>
            <m:r>
              <m:t>θ</m:t>
            </m:r>
          </m:e>
        </m:acc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where</w:t>
      </w:r>
      <w:r>
        <w:t xml:space="preserve"> </w:t>
      </w:r>
      <m:oMath>
        <m:sSup>
          <m:e>
            <m:acc>
              <m:accPr>
                <m:chr m:val="‾"/>
              </m:accPr>
              <m:e>
                <m:r>
                  <m:t>θ</m:t>
                </m:r>
              </m:e>
            </m:acc>
          </m:e>
          <m:sup>
            <m:r>
              <m:rPr>
                <m:sty m:val="p"/>
              </m:rPr>
              <m:t>*</m:t>
            </m:r>
          </m:sup>
        </m:sSup>
      </m:oMath>
      <w:r>
        <w:t xml:space="preserve"> </w:t>
      </w:r>
      <w:r>
        <w:t xml:space="preserve">is the mean of the replicates,</w:t>
      </w:r>
      <w:r>
        <w:t xml:space="preserve"> </w:t>
      </w:r>
      <w:r>
        <w:t xml:space="preserve">rather than at</w:t>
      </w:r>
      <w:r>
        <w:t xml:space="preserve"> </w:t>
      </w:r>
      <m:oMath>
        <m:acc>
          <m:accPr>
            <m:chr m:val="̂"/>
          </m:accPr>
          <m:e>
            <m:r>
              <m:t>θ</m:t>
            </m:r>
          </m:e>
        </m:acc>
      </m:oMath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it estimates quantiles of the replicates by interpolation,</w:t>
      </w:r>
      <w:r>
        <w:t xml:space="preserve"> </w:t>
      </w:r>
      <w:r>
        <w:t xml:space="preserve">so its percentile and BCa endpoints can differ slightly</w:t>
      </w:r>
      <w:r>
        <w:t xml:space="preserve"> </w:t>
      </w:r>
      <w:r>
        <w:t xml:space="preserve">from those computed with</w:t>
      </w:r>
      <w:r>
        <w:t xml:space="preserve"> </w:t>
      </w:r>
      <w:r>
        <w:rPr>
          <w:rStyle w:val="VerbatimChar"/>
        </w:rPr>
        <w:t xml:space="preserve">quantile()</w:t>
      </w:r>
      <w:r>
        <w:t xml:space="preserve">.</w:t>
      </w:r>
    </w:p>
    <w:bookmarkEnd w:id="39"/>
    <w:bookmarkStart w:id="42" w:name="sec-bootstrap-hers"/>
    <w:p>
      <w:pPr>
        <w:pStyle w:val="Heading3"/>
      </w:pPr>
      <w:r>
        <w:t xml:space="preserve">2.5 Example: slope of SBP on age in HERS</w:t>
      </w:r>
    </w:p>
    <w:bookmarkStart w:id="41" w:name="exm-hers-bootstrap"/>
    <w:p>
      <w:pPr>
        <w:pStyle w:val="FirstParagraph"/>
      </w:pPr>
      <w:r>
        <w:rPr>
          <w:b/>
          <w:bCs/>
        </w:rPr>
        <w:t xml:space="preserve">Example 8 (Bootstrap confidence intervals for the slope of SBP on age in HERS)</w:t>
      </w:r>
      <w:r>
        <w:t xml:space="preserve"> </w:t>
      </w:r>
      <w:r>
        <w:t xml:space="preserve">We regress systolic blood pressure (</w:t>
      </w:r>
      <w:r>
        <w:rPr>
          <w:rStyle w:val="VerbatimChar"/>
        </w:rPr>
        <w:t xml:space="preserve">SBP</w:t>
      </w:r>
      <w:r>
        <w:t xml:space="preserve">) on</w:t>
      </w:r>
      <w:r>
        <w:t xml:space="preserve"> </w:t>
      </w:r>
      <w:r>
        <w:rPr>
          <w:rStyle w:val="VerbatimChar"/>
        </w:rPr>
        <w:t xml:space="preserve">age</w:t>
      </w:r>
      <w:r>
        <w:t xml:space="preserve"> </w:t>
      </w:r>
      <w:r>
        <w:t xml:space="preserve">by</w:t>
      </w:r>
      <w:r>
        <w:t xml:space="preserve"> </w:t>
      </w:r>
      <w:hyperlink r:id="rId40">
        <w:r>
          <w:rPr>
            <w:rStyle w:val="Hyperlink"/>
          </w:rPr>
          <w:t xml:space="preserve">ordinary least squares</w:t>
        </w:r>
      </w:hyperlink>
      <w:r>
        <w:t xml:space="preserve">,</w:t>
      </w:r>
      <w:r>
        <w:t xml:space="preserve"> </w:t>
      </w:r>
      <w:r>
        <w:t xml:space="preserve">and bootstrap the slope,</w:t>
      </w:r>
      <w:r>
        <w:t xml:space="preserve"> </w:t>
      </w:r>
      <w:r>
        <w:t xml:space="preserve">resampling participants</w:t>
      </w:r>
      <w:r>
        <w:t xml:space="preserve"> </w:t>
      </w:r>
      <w:r>
        <w:t xml:space="preserve">(adapted from Vittinghoff et al. 2012, chap. 3)</w:t>
      </w:r>
      <w:r>
        <w:t xml:space="preserve">.</w:t>
      </w:r>
      <w:r>
        <w:t xml:space="preserve"> </w:t>
      </w:r>
      <w:r>
        <w:t xml:space="preserve">The statistic function takes the data and the row indices</w:t>
      </w:r>
      <w:r>
        <w:t xml:space="preserve"> </w:t>
      </w:r>
      <w:r>
        <w:t xml:space="preserve">of one bootstrap sample:</w:t>
      </w:r>
    </w:p>
    <w:p>
      <w:pPr>
        <w:pStyle w:val="SourceCode"/>
      </w:pPr>
      <w:r>
        <w:rPr>
          <w:rStyle w:val="NormalTok"/>
        </w:rPr>
        <w:t xml:space="preserve">slope_sbp_age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ControlFlowTok"/>
        </w:rPr>
        <w:t xml:space="preserve">function</w:t>
      </w:r>
      <w:r>
        <w:rPr>
          <w:rStyle w:val="NormalTok"/>
        </w:rPr>
        <w:t xml:space="preserve">(data, indices) {</w:t>
      </w:r>
      <w:r>
        <w:br/>
      </w:r>
      <w:r>
        <w:rPr>
          <w:rStyle w:val="NormalTok"/>
        </w:rPr>
        <w:t xml:space="preserve">  fit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lm</w:t>
      </w:r>
      <w:r>
        <w:rPr>
          <w:rStyle w:val="NormalTok"/>
        </w:rPr>
        <w:t xml:space="preserve">(SBP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age,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data[indices, ])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coef</w:t>
      </w:r>
      <w:r>
        <w:rPr>
          <w:rStyle w:val="NormalTok"/>
        </w:rPr>
        <w:t xml:space="preserve">(fit)[[</w:t>
      </w:r>
      <w:r>
        <w:rPr>
          <w:rStyle w:val="StringTok"/>
        </w:rPr>
        <w:t xml:space="preserve">"age"</w:t>
      </w:r>
      <w:r>
        <w:rPr>
          <w:rStyle w:val="NormalTok"/>
        </w:rPr>
        <w:t xml:space="preserve">]]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FunctionTok"/>
        </w:rPr>
        <w:t xml:space="preserve">set.seed</w:t>
      </w:r>
      <w:r>
        <w:rPr>
          <w:rStyle w:val="NormalTok"/>
        </w:rPr>
        <w:t xml:space="preserve">(</w:t>
      </w:r>
      <w:r>
        <w:rPr>
          <w:rStyle w:val="DecValTok"/>
        </w:rPr>
        <w:t xml:space="preserve">42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boot_result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boot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boot</w:t>
      </w:r>
      <w:r>
        <w:rPr>
          <w:rStyle w:val="NormalTok"/>
        </w:rPr>
        <w:t xml:space="preserve">(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hers, </w:t>
      </w:r>
      <w:r>
        <w:rPr>
          <w:rStyle w:val="AttributeTok"/>
        </w:rPr>
        <w:t xml:space="preserve">statistic =</w:t>
      </w:r>
      <w:r>
        <w:rPr>
          <w:rStyle w:val="NormalTok"/>
        </w:rPr>
        <w:t xml:space="preserve"> slope_sbp_age, </w:t>
      </w:r>
      <w:r>
        <w:rPr>
          <w:rStyle w:val="AttributeTok"/>
        </w:rPr>
        <w:t xml:space="preserve">R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1000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boot_result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ORDINARY NONPARAMETRIC BOOTSTRAP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Call:</w:t>
      </w:r>
      <w:r>
        <w:br/>
      </w:r>
      <w:r>
        <w:rPr>
          <w:rStyle w:val="CommentTok"/>
        </w:rPr>
        <w:t xml:space="preserve">#&gt; boot::boot(data = hers, statistic = slope_sbp_age, R = 1000)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Bootstrap Statistics :</w:t>
      </w:r>
      <w:r>
        <w:br/>
      </w:r>
      <w:r>
        <w:rPr>
          <w:rStyle w:val="CommentTok"/>
        </w:rPr>
        <w:t xml:space="preserve">#&gt;     original       bias    std. error</w:t>
      </w:r>
      <w:r>
        <w:br/>
      </w:r>
      <w:r>
        <w:rPr>
          <w:rStyle w:val="CommentTok"/>
        </w:rPr>
        <w:t xml:space="preserve">#&gt; t1* 0.471728 -0.000635537   0.0536514</w:t>
      </w:r>
    </w:p>
    <w:p>
      <w:pPr>
        <w:pStyle w:val="FirstParagraph"/>
      </w:pPr>
      <w:r>
        <w:t xml:space="preserve">The bootstrap standard error is close to</w:t>
      </w:r>
      <w:r>
        <w:t xml:space="preserve"> </w:t>
      </w:r>
      <w:r>
        <w:t xml:space="preserve">the model-based standard error from</w:t>
      </w:r>
      <w:r>
        <w:t xml:space="preserve"> </w:t>
      </w:r>
      <w:r>
        <w:rPr>
          <w:rStyle w:val="VerbatimChar"/>
        </w:rPr>
        <w:t xml:space="preserve">lm()</w:t>
      </w:r>
      <w:r>
        <w:t xml:space="preserve">,</w:t>
      </w:r>
      <w:r>
        <w:t xml:space="preserve"> </w:t>
      </w:r>
      <w:r>
        <w:t xml:space="preserve">and the three bootstrap intervals are close to</w:t>
      </w:r>
      <w:r>
        <w:t xml:space="preserve"> </w:t>
      </w:r>
      <w:r>
        <w:t xml:space="preserve">the model-based 95% confidence interval:</w:t>
      </w:r>
    </w:p>
    <w:p>
      <w:pPr>
        <w:pStyle w:val="SourceCode"/>
      </w:pPr>
      <w:r>
        <w:rPr>
          <w:rStyle w:val="NormalTok"/>
        </w:rPr>
        <w:t xml:space="preserve">fit_sbp_age </w:t>
      </w:r>
      <w:r>
        <w:rPr>
          <w:rStyle w:val="OtherTok"/>
        </w:rPr>
        <w:t xml:space="preserve">&lt;-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lm</w:t>
      </w:r>
      <w:r>
        <w:rPr>
          <w:rStyle w:val="NormalTok"/>
        </w:rPr>
        <w:t xml:space="preserve">(SBP </w:t>
      </w:r>
      <w:r>
        <w:rPr>
          <w:rStyle w:val="SpecialCharTok"/>
        </w:rPr>
        <w:t xml:space="preserve">~</w:t>
      </w:r>
      <w:r>
        <w:rPr>
          <w:rStyle w:val="NormalTok"/>
        </w:rPr>
        <w:t xml:space="preserve"> age, </w:t>
      </w:r>
      <w:r>
        <w:rPr>
          <w:rStyle w:val="AttributeTok"/>
        </w:rPr>
        <w:t xml:space="preserve">data =</w:t>
      </w:r>
      <w:r>
        <w:rPr>
          <w:rStyle w:val="NormalTok"/>
        </w:rPr>
        <w:t xml:space="preserve"> hers)</w:t>
      </w:r>
      <w:r>
        <w:br/>
      </w:r>
      <w:r>
        <w:rPr>
          <w:rStyle w:val="FunctionTok"/>
        </w:rPr>
        <w:t xml:space="preserve">summary</w:t>
      </w:r>
      <w:r>
        <w:rPr>
          <w:rStyle w:val="NormalTok"/>
        </w:rPr>
        <w:t xml:space="preserve">(fit_sbp_age)</w:t>
      </w:r>
      <w:r>
        <w:rPr>
          <w:rStyle w:val="SpecialCharTok"/>
        </w:rPr>
        <w:t xml:space="preserve">$</w:t>
      </w:r>
      <w:r>
        <w:rPr>
          <w:rStyle w:val="NormalTok"/>
        </w:rPr>
        <w:t xml:space="preserve">coefficients[</w:t>
      </w:r>
      <w:r>
        <w:rPr>
          <w:rStyle w:val="StringTok"/>
        </w:rPr>
        <w:t xml:space="preserve">"age"</w:t>
      </w:r>
      <w:r>
        <w:rPr>
          <w:rStyle w:val="NormalTok"/>
        </w:rPr>
        <w:t xml:space="preserve">, ]</w:t>
      </w:r>
      <w:r>
        <w:br/>
      </w:r>
      <w:r>
        <w:rPr>
          <w:rStyle w:val="CommentTok"/>
        </w:rPr>
        <w:t xml:space="preserve">#&gt;    Estimate  Std. Error     t value    Pr(&gt;|t|) </w:t>
      </w:r>
      <w:r>
        <w:br/>
      </w:r>
      <w:r>
        <w:rPr>
          <w:rStyle w:val="CommentTok"/>
        </w:rPr>
        <w:t xml:space="preserve">#&gt; 4.71728e-01 5.36838e-02 8.78716e+00 2.64196e-18</w:t>
      </w:r>
      <w:r>
        <w:br/>
      </w:r>
      <w:r>
        <w:rPr>
          <w:rStyle w:val="FunctionTok"/>
        </w:rPr>
        <w:t xml:space="preserve">confint</w:t>
      </w:r>
      <w:r>
        <w:rPr>
          <w:rStyle w:val="NormalTok"/>
        </w:rPr>
        <w:t xml:space="preserve">(fit_sbp_age)[</w:t>
      </w:r>
      <w:r>
        <w:rPr>
          <w:rStyle w:val="StringTok"/>
        </w:rPr>
        <w:t xml:space="preserve">"age"</w:t>
      </w:r>
      <w:r>
        <w:rPr>
          <w:rStyle w:val="NormalTok"/>
        </w:rPr>
        <w:t xml:space="preserve">, ]</w:t>
      </w:r>
      <w:r>
        <w:br/>
      </w:r>
      <w:r>
        <w:rPr>
          <w:rStyle w:val="CommentTok"/>
        </w:rPr>
        <w:t xml:space="preserve">#&gt;    2.5 %   97.5 % </w:t>
      </w:r>
      <w:r>
        <w:br/>
      </w:r>
      <w:r>
        <w:rPr>
          <w:rStyle w:val="CommentTok"/>
        </w:rPr>
        <w:t xml:space="preserve">#&gt; 0.366464 0.576993</w:t>
      </w:r>
      <w:r>
        <w:br/>
      </w:r>
      <w:r>
        <w:rPr>
          <w:rStyle w:val="NormalTok"/>
        </w:rPr>
        <w:t xml:space="preserve">boot</w:t>
      </w:r>
      <w:r>
        <w:rPr>
          <w:rStyle w:val="SpecialCharTok"/>
        </w:rPr>
        <w:t xml:space="preserve">::</w:t>
      </w:r>
      <w:r>
        <w:rPr>
          <w:rStyle w:val="FunctionTok"/>
        </w:rPr>
        <w:t xml:space="preserve">boot.ci</w:t>
      </w:r>
      <w:r>
        <w:rPr>
          <w:rStyle w:val="NormalTok"/>
        </w:rPr>
        <w:t xml:space="preserve">(boot_result, </w:t>
      </w:r>
      <w:r>
        <w:rPr>
          <w:rStyle w:val="AttributeTok"/>
        </w:rPr>
        <w:t xml:space="preserve">type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"norm"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"perc"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"bca"</w:t>
      </w:r>
      <w:r>
        <w:rPr>
          <w:rStyle w:val="NormalTok"/>
        </w:rPr>
        <w:t xml:space="preserve">))</w:t>
      </w:r>
      <w:r>
        <w:br/>
      </w:r>
      <w:r>
        <w:rPr>
          <w:rStyle w:val="CommentTok"/>
        </w:rPr>
        <w:t xml:space="preserve">#&gt; BOOTSTRAP CONFIDENCE INTERVAL CALCULATIONS</w:t>
      </w:r>
      <w:r>
        <w:br/>
      </w:r>
      <w:r>
        <w:rPr>
          <w:rStyle w:val="CommentTok"/>
        </w:rPr>
        <w:t xml:space="preserve">#&gt; Based on 1000 bootstrap replicates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CALL : </w:t>
      </w:r>
      <w:r>
        <w:br/>
      </w:r>
      <w:r>
        <w:rPr>
          <w:rStyle w:val="CommentTok"/>
        </w:rPr>
        <w:t xml:space="preserve">#&gt; boot::boot.ci(boot.out = boot_result, type = c("norm", "perc", </w:t>
      </w:r>
      <w:r>
        <w:br/>
      </w:r>
      <w:r>
        <w:rPr>
          <w:rStyle w:val="CommentTok"/>
        </w:rPr>
        <w:t xml:space="preserve">#&gt;     "bca"))</w:t>
      </w:r>
      <w:r>
        <w:br/>
      </w:r>
      <w:r>
        <w:rPr>
          <w:rStyle w:val="CommentTok"/>
        </w:rPr>
        <w:t xml:space="preserve">#&gt; </w:t>
      </w:r>
      <w:r>
        <w:br/>
      </w:r>
      <w:r>
        <w:rPr>
          <w:rStyle w:val="CommentTok"/>
        </w:rPr>
        <w:t xml:space="preserve">#&gt; Intervals : </w:t>
      </w:r>
      <w:r>
        <w:br/>
      </w:r>
      <w:r>
        <w:rPr>
          <w:rStyle w:val="CommentTok"/>
        </w:rPr>
        <w:t xml:space="preserve">#&gt; Level      Normal             Percentile            BCa          </w:t>
      </w:r>
      <w:r>
        <w:br/>
      </w:r>
      <w:r>
        <w:rPr>
          <w:rStyle w:val="CommentTok"/>
        </w:rPr>
        <w:t xml:space="preserve">#&gt; 95%   ( 0.3672,  0.5775 )   ( 0.3607,  0.5811 )   ( 0.3624,  0.5824 )  </w:t>
      </w:r>
      <w:r>
        <w:br/>
      </w:r>
      <w:r>
        <w:rPr>
          <w:rStyle w:val="CommentTok"/>
        </w:rPr>
        <w:t xml:space="preserve">#&gt; Calculations and Intervals on Original Scale</w:t>
      </w:r>
    </w:p>
    <w:p>
      <w:pPr>
        <w:pStyle w:val="FirstParagraph"/>
      </w:pPr>
      <w:r>
        <w:t xml:space="preserve">All three intervals are similar here.</w:t>
      </w:r>
      <w:r>
        <w:t xml:space="preserve"> </w:t>
      </w:r>
      <w:r>
        <w:t xml:space="preserve">When the bootstrap distribution is skewed,</w:t>
      </w:r>
      <w:r>
        <w:t xml:space="preserve"> </w:t>
      </w:r>
      <w:r>
        <w:t xml:space="preserve">the intervals differ more,</w:t>
      </w:r>
      <w:r>
        <w:t xml:space="preserve"> </w:t>
      </w:r>
      <w:r>
        <w:t xml:space="preserve">and the BCa interval, which corrects for skewness,</w:t>
      </w:r>
      <w:r>
        <w:t xml:space="preserve"> </w:t>
      </w:r>
      <w:r>
        <w:t xml:space="preserve">is the better choice</w:t>
      </w:r>
      <w:r>
        <w:t xml:space="preserve"> </w:t>
      </w:r>
      <w:r>
        <w:t xml:space="preserve">(Efron and Tibshirani 1993, chap. 14)</w:t>
      </w:r>
      <w:r>
        <w:t xml:space="preserve">.</w:t>
      </w:r>
    </w:p>
    <w:bookmarkEnd w:id="41"/>
    <w:bookmarkEnd w:id="42"/>
    <w:bookmarkEnd w:id="43"/>
    <w:bookmarkStart w:id="53" w:name="references"/>
    <w:p>
      <w:pPr>
        <w:pStyle w:val="Heading2"/>
      </w:pPr>
      <w:r>
        <w:t xml:space="preserve">References</w:t>
      </w:r>
    </w:p>
    <w:bookmarkStart w:id="52" w:name="refs"/>
    <w:bookmarkStart w:id="45" w:name="ref-davison1997bootstrap"/>
    <w:p>
      <w:pPr>
        <w:pStyle w:val="Bibliography"/>
      </w:pPr>
      <w:r>
        <w:t xml:space="preserve">Davison, Anthony C., and David V. Hinkley. 1997.</w:t>
      </w:r>
      <w:r>
        <w:t xml:space="preserve"> </w:t>
      </w:r>
      <w:r>
        <w:rPr>
          <w:i/>
          <w:iCs/>
        </w:rPr>
        <w:t xml:space="preserve">Bootstrap Methods and Their Application</w:t>
      </w:r>
      <w:r>
        <w:t xml:space="preserve">. Cambridge Series in Statistical and Probabilistic Mathematics 1. Cambridge University Press.</w:t>
      </w:r>
      <w:r>
        <w:t xml:space="preserve"> </w:t>
      </w:r>
      <w:hyperlink r:id="rId44">
        <w:r>
          <w:rPr>
            <w:rStyle w:val="Hyperlink"/>
          </w:rPr>
          <w:t xml:space="preserve">https://doi.org/10.1017/CBO9780511802843</w:t>
        </w:r>
      </w:hyperlink>
      <w:r>
        <w:t xml:space="preserve">.</w:t>
      </w:r>
    </w:p>
    <w:bookmarkEnd w:id="45"/>
    <w:bookmarkStart w:id="47" w:name="ref-efron1979bootstrap"/>
    <w:p>
      <w:pPr>
        <w:pStyle w:val="Bibliography"/>
      </w:pPr>
      <w:r>
        <w:t xml:space="preserve">Efron, Bradley. 1979.</w:t>
      </w:r>
      <w:r>
        <w:t xml:space="preserve"> </w:t>
      </w:r>
      <w:r>
        <w:t xml:space="preserve">“Bootstrap Methods: Another Look at the Jackknife.”</w:t>
      </w:r>
      <w:r>
        <w:t xml:space="preserve"> </w:t>
      </w:r>
      <w:r>
        <w:rPr>
          <w:i/>
          <w:iCs/>
        </w:rPr>
        <w:t xml:space="preserve">The Annals of Statistics</w:t>
      </w:r>
      <w:r>
        <w:t xml:space="preserve"> </w:t>
      </w:r>
      <w:r>
        <w:t xml:space="preserve">7 (1): 1–26.</w:t>
      </w:r>
      <w:r>
        <w:t xml:space="preserve"> </w:t>
      </w:r>
      <w:hyperlink r:id="rId46">
        <w:r>
          <w:rPr>
            <w:rStyle w:val="Hyperlink"/>
          </w:rPr>
          <w:t xml:space="preserve">https://doi.org/10.1214/aos/1176344552</w:t>
        </w:r>
      </w:hyperlink>
      <w:r>
        <w:t xml:space="preserve">.</w:t>
      </w:r>
    </w:p>
    <w:bookmarkEnd w:id="47"/>
    <w:bookmarkStart w:id="49" w:name="ref-efron1993introduction"/>
    <w:p>
      <w:pPr>
        <w:pStyle w:val="Bibliography"/>
      </w:pPr>
      <w:r>
        <w:t xml:space="preserve">Efron, Bradley, and Robert J. Tibshirani. 1993.</w:t>
      </w:r>
      <w:r>
        <w:t xml:space="preserve"> </w:t>
      </w:r>
      <w:r>
        <w:rPr>
          <w:i/>
          <w:iCs/>
        </w:rPr>
        <w:t xml:space="preserve">An Introduction to the Bootstrap</w:t>
      </w:r>
      <w:r>
        <w:t xml:space="preserve">. Monographs on Statistics and Applied Probability 57. Chapman &amp; Hall/CRC.</w:t>
      </w:r>
      <w:r>
        <w:t xml:space="preserve"> </w:t>
      </w:r>
      <w:hyperlink r:id="rId48">
        <w:r>
          <w:rPr>
            <w:rStyle w:val="Hyperlink"/>
          </w:rPr>
          <w:t xml:space="preserve">https://doi.org/10.1201/9780429246593</w:t>
        </w:r>
      </w:hyperlink>
      <w:r>
        <w:t xml:space="preserve">.</w:t>
      </w:r>
    </w:p>
    <w:bookmarkEnd w:id="49"/>
    <w:bookmarkStart w:id="51" w:name="ref-vittinghoff2e"/>
    <w:p>
      <w:pPr>
        <w:pStyle w:val="Bibliography"/>
      </w:pPr>
      <w:r>
        <w:t xml:space="preserve">Vittinghoff, Eric, David V Glidden, Stephen C Shiboski, and Charles E McCulloch. 2012.</w:t>
      </w:r>
      <w:r>
        <w:t xml:space="preserve"> </w:t>
      </w:r>
      <w:r>
        <w:rPr>
          <w:i/>
          <w:iCs/>
        </w:rPr>
        <w:t xml:space="preserve">Regression Methods in Biostatistics: Linear, Logistic, Survival, and Repeated Measures Models</w:t>
      </w:r>
      <w:r>
        <w:t xml:space="preserve">. 2nd ed. Springer.</w:t>
      </w:r>
      <w:r>
        <w:t xml:space="preserve"> </w:t>
      </w:r>
      <w:hyperlink r:id="rId50">
        <w:r>
          <w:rPr>
            <w:rStyle w:val="Hyperlink"/>
          </w:rPr>
          <w:t xml:space="preserve">https://doi.org/10.1007/978-1-4614-1353-0</w:t>
        </w:r>
      </w:hyperlink>
      <w:r>
        <w:t xml:space="preserve">.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8" Target="media/rId18.png" /><Relationship Type="http://schemas.openxmlformats.org/officeDocument/2006/relationships/hyperlink" Id="rId10" Target="basic-statistical-methods.qmd#sec-hers-intro" TargetMode="External" /><Relationship Type="http://schemas.openxmlformats.org/officeDocument/2006/relationships/hyperlink" Id="rId40" Target="correlation-regression.qmd#def-ols" TargetMode="External" /><Relationship Type="http://schemas.openxmlformats.org/officeDocument/2006/relationships/hyperlink" Id="rId9" Target="correlation-regression.qmd#sec-simple-linear-regression" TargetMode="External" /><Relationship Type="http://schemas.openxmlformats.org/officeDocument/2006/relationships/hyperlink" Id="rId16" Target="estimation.qmd#def-SE" TargetMode="External" /><Relationship Type="http://schemas.openxmlformats.org/officeDocument/2006/relationships/hyperlink" Id="rId50" Target="https://doi.org/10.1007/978-1-4614-1353-0" TargetMode="External" /><Relationship Type="http://schemas.openxmlformats.org/officeDocument/2006/relationships/hyperlink" Id="rId44" Target="https://doi.org/10.1017/CBO9780511802843" TargetMode="External" /><Relationship Type="http://schemas.openxmlformats.org/officeDocument/2006/relationships/hyperlink" Id="rId48" Target="https://doi.org/10.1201/9780429246593" TargetMode="External" /><Relationship Type="http://schemas.openxmlformats.org/officeDocument/2006/relationships/hyperlink" Id="rId46" Target="https://doi.org/10.1214/aos/1176344552" TargetMode="External" /><Relationship Type="http://schemas.openxmlformats.org/officeDocument/2006/relationships/hyperlink" Id="rId24" Target="inference.qmd#def-confidence-inter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basic-statistical-methods.qmd#sec-hers-intro" TargetMode="External" /><Relationship Type="http://schemas.openxmlformats.org/officeDocument/2006/relationships/hyperlink" Id="rId40" Target="correlation-regression.qmd#def-ols" TargetMode="External" /><Relationship Type="http://schemas.openxmlformats.org/officeDocument/2006/relationships/hyperlink" Id="rId9" Target="correlation-regression.qmd#sec-simple-linear-regression" TargetMode="External" /><Relationship Type="http://schemas.openxmlformats.org/officeDocument/2006/relationships/hyperlink" Id="rId16" Target="estimation.qmd#def-SE" TargetMode="External" /><Relationship Type="http://schemas.openxmlformats.org/officeDocument/2006/relationships/hyperlink" Id="rId50" Target="https://doi.org/10.1007/978-1-4614-1353-0" TargetMode="External" /><Relationship Type="http://schemas.openxmlformats.org/officeDocument/2006/relationships/hyperlink" Id="rId44" Target="https://doi.org/10.1017/CBO9780511802843" TargetMode="External" /><Relationship Type="http://schemas.openxmlformats.org/officeDocument/2006/relationships/hyperlink" Id="rId48" Target="https://doi.org/10.1201/9780429246593" TargetMode="External" /><Relationship Type="http://schemas.openxmlformats.org/officeDocument/2006/relationships/hyperlink" Id="rId46" Target="https://doi.org/10.1214/aos/1176344552" TargetMode="External" /><Relationship Type="http://schemas.openxmlformats.org/officeDocument/2006/relationships/hyperlink" Id="rId24" Target="inference.qmd#def-confidence-inter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Bootstrap</dc:title>
  <dc:creator/>
  <cp:keywords/>
  <dcterms:created xsi:type="dcterms:W3CDTF">2026-09-29T07:11:14Z</dcterms:created>
  <dcterms:modified xsi:type="dcterms:W3CDTF">2026-09-29T07:11:14Z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2026-09-29 00:05:17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4</vt:lpwstr>
  </property>
  <property fmtid="{D5CDD505-2E9C-101B-9397-08002B2CF9AE}" pid="16" name="toc-title">
    <vt:lpwstr>Table of contents</vt:lpwstr>
  </property>
</Properties>
</file>