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Summary of Regression Modeling Concepts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pict>
          <v:rect style="width:0;height:1.5pt" o:hralign="center" o:hrstd="t" o:hr="t"/>
        </w:pict>
      </w:r>
    </w:p>
    <w:bookmarkStart w:id="9" w:name="configuring-r"/>
    <w:p>
      <w:pPr>
        <w:pStyle w:val="Heading3"/>
      </w:pPr>
      <w:r>
        <w:t xml:space="preserve">Configuring R</w:t>
      </w:r>
    </w:p>
    <w:p>
      <w:pPr>
        <w:pStyle w:val="FirstParagraph"/>
      </w:pPr>
      <w:r>
        <w:t xml:space="preserve">Functions from these packages will be used throughout this document: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(conflicted) </w:t>
      </w:r>
      <w:r>
        <w:rPr>
          <w:rStyle w:val="CommentTok"/>
        </w:rPr>
        <w:t xml:space="preserve"># check for conflicting function definitions</w:t>
      </w:r>
      <w:r>
        <w:br/>
      </w:r>
      <w:r>
        <w:rPr>
          <w:rStyle w:val="CommentTok"/>
        </w:rPr>
        <w:t xml:space="preserve"># library(printr) # inserts help-file output into markdown output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(rmarkdown) </w:t>
      </w:r>
      <w:r>
        <w:rPr>
          <w:rStyle w:val="CommentTok"/>
        </w:rPr>
        <w:t xml:space="preserve"># Convert R Markdown documents into a variety of formats.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(pander) </w:t>
      </w:r>
      <w:r>
        <w:rPr>
          <w:rStyle w:val="CommentTok"/>
        </w:rPr>
        <w:t xml:space="preserve"># format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(ggplot2) </w:t>
      </w:r>
      <w:r>
        <w:rPr>
          <w:rStyle w:val="CommentTok"/>
        </w:rPr>
        <w:t xml:space="preserve">#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(ggfortify) </w:t>
      </w:r>
      <w:r>
        <w:rPr>
          <w:rStyle w:val="CommentTok"/>
        </w:rPr>
        <w:t xml:space="preserve"># help with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(dplyr) </w:t>
      </w:r>
      <w:r>
        <w:rPr>
          <w:rStyle w:val="CommentTok"/>
        </w:rPr>
        <w:t xml:space="preserve"># manipulate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(tibble) </w:t>
      </w:r>
      <w:r>
        <w:rPr>
          <w:rStyle w:val="CommentTok"/>
        </w:rPr>
        <w:t xml:space="preserve"># `tibble`s extend `data.frame`s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(magrittr) </w:t>
      </w:r>
      <w:r>
        <w:rPr>
          <w:rStyle w:val="CommentTok"/>
        </w:rPr>
        <w:t xml:space="preserve"># `%&gt;%` and other additional piping tools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(knitr) </w:t>
      </w:r>
      <w:r>
        <w:rPr>
          <w:rStyle w:val="CommentTok"/>
        </w:rPr>
        <w:t xml:space="preserve"># format R output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(tidyr) </w:t>
      </w:r>
      <w:r>
        <w:rPr>
          <w:rStyle w:val="CommentTok"/>
        </w:rPr>
        <w:t xml:space="preserve"># Tools to help to create tidy data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(plotly) </w:t>
      </w:r>
      <w:r>
        <w:rPr>
          <w:rStyle w:val="CommentTok"/>
        </w:rPr>
        <w:t xml:space="preserve"># interactive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(dobson) </w:t>
      </w:r>
      <w:r>
        <w:rPr>
          <w:rStyle w:val="CommentTok"/>
        </w:rPr>
        <w:t xml:space="preserve"># datasets from Dobson and Barnett 2018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 markdown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(haven) </w:t>
      </w:r>
      <w:r>
        <w:rPr>
          <w:rStyle w:val="CommentTok"/>
        </w:rPr>
        <w:t xml:space="preserve"># import Stata files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(latex2exp) </w:t>
      </w:r>
      <w:r>
        <w:rPr>
          <w:rStyle w:val="CommentTok"/>
        </w:rPr>
        <w:t xml:space="preserve"># use LaTeX in R code (for figures and tables)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(fs) </w:t>
      </w:r>
      <w:r>
        <w:rPr>
          <w:rStyle w:val="CommentTok"/>
        </w:rPr>
        <w:t xml:space="preserve"># filesystem path manipulations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(survival) </w:t>
      </w:r>
      <w:r>
        <w:rPr>
          <w:rStyle w:val="CommentTok"/>
        </w:rPr>
        <w:t xml:space="preserve"># survival analysis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(survminer) </w:t>
      </w:r>
      <w:r>
        <w:rPr>
          <w:rStyle w:val="CommentTok"/>
        </w:rPr>
        <w:t xml:space="preserve"># survival analysis graphics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(KMsurv) </w:t>
      </w:r>
      <w:r>
        <w:rPr>
          <w:rStyle w:val="CommentTok"/>
        </w:rPr>
        <w:t xml:space="preserve"># datasets from Klein and Moeschberger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(parameters) </w:t>
      </w:r>
      <w:r>
        <w:rPr>
          <w:rStyle w:val="CommentTok"/>
        </w:rPr>
        <w:t xml:space="preserve"># format model output tables for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(webshot2) </w:t>
      </w:r>
      <w:r>
        <w:rPr>
          <w:rStyle w:val="CommentTok"/>
        </w:rPr>
        <w:t xml:space="preserve"># convert interactive content to static for pdf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(forcats) </w:t>
      </w:r>
      <w:r>
        <w:rPr>
          <w:rStyle w:val="CommentTok"/>
        </w:rPr>
        <w:t xml:space="preserve"># functions for categorical variables ("factors")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(stringr) </w:t>
      </w:r>
      <w:r>
        <w:rPr>
          <w:rStyle w:val="CommentTok"/>
        </w:rPr>
        <w:t xml:space="preserve"># functions for dealing with strings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(lubridate) </w:t>
      </w:r>
      <w:r>
        <w:rPr>
          <w:rStyle w:val="CommentTok"/>
        </w:rPr>
        <w:t xml:space="preserve"># functions for dealing with dates and times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(broom) </w:t>
      </w:r>
      <w:r>
        <w:rPr>
          <w:rStyle w:val="CommentTok"/>
        </w:rPr>
        <w:t xml:space="preserve"># Summarizes key information about statistical objects in tidy tibbles</w:t>
      </w:r>
      <w:r>
        <w:br/>
      </w:r>
      <w:r>
        <w:rPr>
          <w:rStyle w:val="FunctionTok"/>
        </w:rPr>
        <w:t xml:space="preserve">library</w:t>
      </w:r>
      <w:r>
        <w:rPr>
          <w:rStyle w:val="NormalTok"/>
        </w:rPr>
        <w:t xml:space="preserve">(broom.helpers) </w:t>
      </w:r>
      <w:r>
        <w:rPr>
          <w:rStyle w:val="CommentTok"/>
        </w:rPr>
        <w:t xml:space="preserve"># Provides suite of functions to work with regression model 'broom::tidy()' tibbles</w:t>
      </w:r>
    </w:p>
    <w:p>
      <w:pPr>
        <w:pStyle w:val="FirstParagraph"/>
      </w:pPr>
      <w:r>
        <w:t xml:space="preserve">Here are some R settings I use in this document:</w:t>
      </w:r>
    </w:p>
    <w:p>
      <w:pPr>
        <w:pStyle w:val="SourceCode"/>
      </w:pPr>
      <w:r>
        <w:rPr>
          <w:rStyle w:val="FunctionTok"/>
        </w:rPr>
        <w:t xml:space="preserve">rm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list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()) </w:t>
      </w:r>
      <w:r>
        <w:rPr>
          <w:rStyle w:val="CommentTok"/>
        </w:rPr>
        <w:t xml:space="preserve"># delete any data that's already loaded into R</w:t>
      </w:r>
      <w:r>
        <w:br/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</w:t>
      </w:r>
      <w:r>
        <w:br/>
      </w:r>
      <w:r>
        <w:rPr>
          <w:rStyle w:val="NormalTok"/>
        </w:rPr>
        <w:t xml:space="preserve">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theme_set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theme_bw</w:t>
      </w:r>
      <w:r>
        <w:rPr>
          <w:rStyle w:val="NormalTok"/>
        </w:rPr>
        <w:t xml:space="preserve">()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ggplot2::labs(col = "") +</w:t>
      </w:r>
      <w:r>
        <w:br/>
      </w:r>
      <w:r>
        <w:rPr>
          <w:rStyle w:val="NormalTok"/>
        </w:rPr>
        <w:t xml:space="preserve">   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theme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legend.position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"bottom"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AttributeTok"/>
        </w:rPr>
        <w:t xml:space="preserve">text =</w:t>
      </w:r>
      <w:r>
        <w:rPr>
          <w:rStyle w:val="NormalTok"/>
        </w:rPr>
        <w:t xml:space="preserve"> ggplot2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element_text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size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family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"serif"</w:t>
      </w:r>
      <w:r>
        <w:rPr>
          <w:rStyle w:val="NormalTok"/>
        </w:rPr>
        <w:t xml:space="preserve">)))</w:t>
      </w:r>
      <w:r>
        <w:br/>
      </w:r>
      <w:r>
        <w:br/>
      </w:r>
      <w:r>
        <w:rPr>
          <w:rStyle w:val="NormalTok"/>
        </w:rPr>
        <w:t xml:space="preserve">knitr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opts_chunk</w:t>
      </w:r>
      <w:r>
        <w:rPr>
          <w:rStyle w:val="SpecialCharTok"/>
        </w:rPr>
        <w:t xml:space="preserve">$</w:t>
      </w:r>
      <w:r>
        <w:rPr>
          <w:rStyle w:val="FunctionTok"/>
        </w:rPr>
        <w:t xml:space="preserve">set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message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'digits'</w:t>
      </w:r>
      <w:r>
        <w:rPr>
          <w:rStyle w:val="NormalTok"/>
        </w:rPr>
        <w:t xml:space="preserve">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"big.mark"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","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"table.emphasize.rownames"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pander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panderOptions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"table.split.table"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Inf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conflicts_prefer</w:t>
      </w:r>
      <w:r>
        <w:rPr>
          <w:rStyle w:val="NormalTok"/>
        </w:rPr>
        <w:t xml:space="preserve">(dplyr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filter) </w:t>
      </w:r>
      <w:r>
        <w:rPr>
          <w:rStyle w:val="CommentTok"/>
        </w:rPr>
        <w:t xml:space="preserve"># use the `filter()` function from dplyr() by default</w:t>
      </w:r>
      <w:r>
        <w:br/>
      </w:r>
      <w:r>
        <w:rPr>
          <w:rStyle w:val="NormalTok"/>
        </w:rPr>
        <w:t xml:space="preserve">legend_text_size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</w:t>
      </w:r>
      <w:r>
        <w:br/>
      </w:r>
      <w:r>
        <w:rPr>
          <w:rStyle w:val="NormalTok"/>
        </w:rPr>
        <w:t xml:space="preserve">run_graphs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</w:p>
    <w:bookmarkEnd w:id="9"/>
    <w:bookmarkStart w:id="10" w:name="Xb17d196f311f77ae71c6a68d34a7a7ec6c02c86"/>
    <w:p>
      <w:pPr>
        <w:pStyle w:val="Heading1"/>
      </w:pPr>
      <w:r>
        <w:t xml:space="preserve">1. We use different probability models for different data types</w:t>
      </w:r>
    </w:p>
    <w:p>
      <w:pPr>
        <w:pStyle w:val="Compact"/>
        <w:numPr>
          <w:ilvl w:val="0"/>
          <w:numId w:val="1001"/>
        </w:numPr>
      </w:pPr>
      <w:r>
        <w:t xml:space="preserve">Binary outcomes: Bernoulli models</w:t>
      </w:r>
    </w:p>
    <w:p>
      <w:pPr>
        <w:pStyle w:val="Compact"/>
        <w:numPr>
          <w:ilvl w:val="0"/>
          <w:numId w:val="1001"/>
        </w:numPr>
      </w:pPr>
      <w:r>
        <w:t xml:space="preserve">Event rate outcomes: Poisson/Negative binomial models</w:t>
      </w:r>
    </w:p>
    <w:p>
      <w:pPr>
        <w:pStyle w:val="Compact"/>
        <w:numPr>
          <w:ilvl w:val="0"/>
          <w:numId w:val="1001"/>
        </w:numPr>
      </w:pPr>
      <w:r>
        <w:t xml:space="preserve">Time-to-event outcomes: Survival models</w:t>
      </w:r>
    </w:p>
    <w:p>
      <w:pPr>
        <w:pStyle w:val="Compact"/>
        <w:numPr>
          <w:ilvl w:val="0"/>
          <w:numId w:val="1001"/>
        </w:numPr>
      </w:pPr>
      <w:r>
        <w:t xml:space="preserve">Catch-all: Gaussian models</w:t>
      </w:r>
    </w:p>
    <w:bookmarkEnd w:id="10"/>
    <w:bookmarkStart w:id="12" w:name="X8562c8db48d7fa25ea19a62a1dae1398893990c"/>
    <w:p>
      <w:pPr>
        <w:pStyle w:val="Heading1"/>
      </w:pPr>
      <w:r>
        <w:t xml:space="preserve">2. We use different link functions to connect these models with covariates</w:t>
      </w:r>
    </w:p>
    <w:p>
      <w:pPr>
        <w:pStyle w:val="Compact"/>
        <w:numPr>
          <w:ilvl w:val="0"/>
          <w:numId w:val="1002"/>
        </w:numPr>
      </w:pPr>
      <w:r>
        <w:t xml:space="preserve">Bernoulli models: logit link</w:t>
      </w:r>
    </w:p>
    <w:p>
      <w:pPr>
        <w:pStyle w:val="Compact"/>
        <w:numPr>
          <w:ilvl w:val="0"/>
          <w:numId w:val="1002"/>
        </w:numPr>
      </w:pPr>
      <w:r>
        <w:t xml:space="preserve">Count models: log link + offset</w:t>
      </w:r>
    </w:p>
    <w:p>
      <w:pPr>
        <w:pStyle w:val="Compact"/>
        <w:numPr>
          <w:ilvl w:val="0"/>
          <w:numId w:val="1002"/>
        </w:numPr>
      </w:pPr>
      <w:r>
        <w:t xml:space="preserve">Survival models: log link</w:t>
      </w:r>
    </w:p>
    <w:p>
      <w:pPr>
        <w:pStyle w:val="Compact"/>
        <w:numPr>
          <w:ilvl w:val="0"/>
          <w:numId w:val="1002"/>
        </w:numPr>
      </w:pPr>
      <w:r>
        <w:t xml:space="preserve">Gaussian models: identity link</w:t>
      </w:r>
    </w:p>
    <w:p>
      <w:pPr>
        <w:pStyle w:val="FirstParagraph"/>
      </w:pPr>
      <w:hyperlink w:anchor="fig-model-diagrams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how the various models we have studied</w:t>
      </w:r>
      <w:r>
        <w:t xml:space="preserve"> </w:t>
      </w:r>
      <w:r>
        <w:t xml:space="preserve">have analogous structures:</w:t>
      </w:r>
      <w:r>
        <w:t xml:space="preserve"> </w:t>
      </w:r>
      <w:r>
        <w:t xml:space="preserve">each row uses model-specific transformations to connect</w:t>
      </w:r>
      <w:r>
        <w:t xml:space="preserve"> </w:t>
      </w:r>
      <w:r>
        <w:t xml:space="preserve">the modeled quantity</w:t>
      </w:r>
      <w:r>
        <w:t xml:space="preserve"> </w:t>
      </w:r>
      <w:r>
        <w:t xml:space="preserve">to a linear predictor</w:t>
      </w:r>
      <w:r>
        <w:t xml:space="preserve"> </w:t>
      </w:r>
      <m:oMath>
        <m:r>
          <m:t>η</m:t>
        </m:r>
        <m:r>
          <m:rPr>
            <m:sty m:val="p"/>
          </m:rPr>
          <m:t>(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)</m:t>
        </m:r>
        <m:r>
          <m:rPr>
            <m:sty m:val="p"/>
          </m:rPr>
          <m:t>=</m:t>
        </m:r>
        <m:acc>
          <m:accPr>
            <m:chr m:val="̃"/>
          </m:accPr>
          <m:e>
            <m:r>
              <m:t>x</m:t>
            </m:r>
          </m:e>
        </m:acc>
        <m:r>
          <m:rPr>
            <m:sty m:val="p"/>
          </m:rPr>
          <m:t>⋅</m:t>
        </m:r>
        <m:acc>
          <m:accPr>
            <m:chr m:val="̃"/>
          </m:accPr>
          <m:e>
            <m:r>
              <m:t>β</m:t>
            </m:r>
          </m:e>
        </m:acc>
        <m:r>
          <m:rPr>
            <m:sty m:val="p"/>
          </m:rPr>
          <m:t>+</m:t>
        </m:r>
        <m:sSub>
          <m:e>
            <m:r>
              <m:t>η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1" w:name="fig-model-diagrams"/>
          <w:p>
            <w:pPr>
              <w:jc w:val="center"/>
            </w:pPr>
            <w:r>
              <w:t xml:space="preserve">Linear (Gaussian):</w:t>
            </w:r>
          </w:p>
          <w:p>
            <w:pPr>
              <w:jc w:val="center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μ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mean</m:t>
                    </m:r>
                  </m:lim>
                </m:limLow>
                <m:limLow>
                  <m:e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→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=</m:t>
                            </m:r>
                          </m:lim>
                        </m:limUpp>
                      </m:e>
                      <m:lim>
                        <m:r>
                          <m:t>​</m:t>
                        </m:r>
                      </m:lim>
                    </m:limLow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rPr>
                                <m:sty m:val="p"/>
                              </m:rPr>
                              <m:t>=</m:t>
                            </m:r>
                          </m:lim>
                        </m:limUpp>
                      </m:e>
                      <m:lim>
                        <m:r>
                          <m:t>​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mcJc m:val="center"/>
                              <m:count m:val="1"/>
                            </m:mcPr>
                          </m:mc>
                        </m:mcs>
                      </m:mPr>
                      <m:mr>
                        <m:e>
                          <m:r>
                            <m:rPr>
                              <m:nor/>
                              <m:sty m:val="p"/>
                            </m:rPr>
                            <m:t>linear</m:t>
                          </m:r>
                        </m:e>
                      </m:mr>
                      <m:mr>
                        <m:e>
                          <m:r>
                            <m:rPr>
                              <m:nor/>
                              <m:sty m:val="p"/>
                            </m:rPr>
                            <m:t>predictor</m:t>
                          </m:r>
                        </m:e>
                      </m:mr>
                    </m:m>
                  </m:lim>
                </m:limLow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+</m:t>
                </m:r>
                <m:r>
                  <m:t>μ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jc w:val="center"/>
            </w:pPr>
            <w:r>
              <w:t xml:space="preserve">Logistic (Binomial):</w:t>
            </w:r>
          </w:p>
          <w:p>
            <w:pPr>
              <w:jc w:val="center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μ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mean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f>
                          <m:fPr>
                            <m:type m:val="bar"/>
                          </m:fPr>
                          <m:num>
                            <m:r>
                              <m:t>μ</m:t>
                            </m:r>
                          </m:num>
                          <m:den>
                            <m:r>
                              <m:t>n</m:t>
                            </m:r>
                          </m:den>
                        </m:f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r>
                          <m:t>π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n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π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probability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f>
                          <m:fPr>
                            <m:type m:val="bar"/>
                          </m:fPr>
                          <m:num>
                            <m:r>
                              <m:t>π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t>π</m:t>
                            </m:r>
                          </m:den>
                        </m:f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f>
                          <m:fPr>
                            <m:type m:val="bar"/>
                          </m:fPr>
                          <m:num>
                            <m:r>
                              <m:t>ω</m:t>
                            </m:r>
                          </m:num>
                          <m:den>
                            <m:r>
                              <m:t>1</m:t>
                            </m:r>
                            <m:r>
                              <m:rPr>
                                <m:sty m:val="p"/>
                              </m:rPr>
                              <m:t>+</m:t>
                            </m:r>
                            <m:r>
                              <m:t>ω</m:t>
                            </m:r>
                          </m:den>
                        </m:f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ω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odds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ω</m:t>
                            </m:r>
                          </m:e>
                        </m:d>
                        <m:r>
                          <m:t>​</m:t>
                        </m:r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</m:e>
                        </m:d>
                        <m:r>
                          <m:t>​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η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log-odds</m:t>
                    </m:r>
                  </m:lim>
                </m:limLow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+</m:t>
                </m:r>
                <m:r>
                  <m:t>η</m:t>
                </m:r>
                <m:r>
                  <m:rPr>
                    <m:sty m:val="p"/>
                  </m:rPr>
                  <m:t>(</m:t>
                </m:r>
                <m:r>
                  <m:t>0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jc w:val="center"/>
            </w:pPr>
            <w:r>
              <w:t xml:space="preserve">Count (Poisson):</w:t>
            </w:r>
          </w:p>
          <w:p>
            <w:pPr>
              <w:jc w:val="center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μ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mean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t>μ</m:t>
                        </m:r>
                        <m:r>
                          <m:rPr>
                            <m:sty m:val="p"/>
                          </m:rPr>
                          <m:t>/</m:t>
                        </m:r>
                        <m:r>
                          <m:t>t</m:t>
                        </m:r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⋅</m:t>
                        </m:r>
                        <m:r>
                          <m:t>t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λ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rate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λ</m:t>
                            </m:r>
                          </m:e>
                        </m:d>
                        <m:r>
                          <m:t>​</m:t>
                        </m:r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</m:e>
                        </m:d>
                        <m:r>
                          <m:t>​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η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log-rate</m:t>
                    </m:r>
                  </m:lim>
                </m:limLow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log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λ</m:t>
                    </m:r>
                    <m:r>
                      <m:rPr>
                        <m:sty m:val="p"/>
                      </m:rPr>
                      <m:t>(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</m:oMath>
            </m:oMathPara>
          </w:p>
          <w:p>
            <w:pPr>
              <w:jc w:val="center"/>
            </w:pPr>
            <w:r>
              <w:t xml:space="preserve">Survival (Cox PH):</w:t>
            </w:r>
          </w:p>
          <w:p>
            <w:pPr>
              <w:jc w:val="center"/>
            </w:pPr>
            <m:oMathPara>
              <m:oMathParaPr>
                <m:jc m:val="center"/>
              </m:oMathParaPr>
              <m:oMath>
                <m:limLow>
                  <m:e>
                    <m:limLow>
                      <m:e>
                        <m:r>
                          <m:t>μ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mean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←</m:t>
                        </m:r>
                      </m:e>
                      <m:lim>
                        <m:r>
                          <m:t>​</m:t>
                        </m:r>
                      </m:lim>
                    </m:limUpp>
                  </m:e>
                  <m:lim>
                    <m:nary>
                      <m:naryPr>
                        <m:chr m:val="∫"/>
                        <m:limLoc m:val="subSup"/>
                        <m:subHide m:val="off"/>
                        <m:supHide m:val="off"/>
                      </m:naryPr>
                      <m:sub>
                        <m:r>
                          <m:t>t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b>
                      <m:sup>
                        <m:r>
                          <m:rPr>
                            <m:sty m:val="p"/>
                          </m:rPr>
                          <m:t>∞</m:t>
                        </m:r>
                      </m:sup>
                      <m:e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t>d</m:t>
                        </m:r>
                        <m:r>
                          <m:t>t</m:t>
                        </m:r>
                      </m:e>
                    </m:nary>
                  </m:lim>
                </m:limLow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S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survival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S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rPr>
                                <m:sty m:val="p"/>
                              </m:rPr>
                              <m:t>−</m:t>
                            </m:r>
                            <m:r>
                              <m:rPr>
                                <m:sty m:val="p"/>
                              </m:rPr>
                              <m:t>Λ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rPr>
                            <m:sty m:val="p"/>
                          </m:rP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cumulative hazard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sSup>
                          <m:e>
                            <m:r>
                              <m:rPr>
                                <m:sty m:val="p"/>
                              </m:rPr>
                              <m:t>Λ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m:t>′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nary>
                          <m:naryPr>
                            <m:chr m:val="∫"/>
                            <m:limLoc m:val="subSup"/>
                            <m:subHide m:val="off"/>
                            <m:supHide m:val="off"/>
                          </m:naryPr>
                          <m:sub>
                            <m:r>
                              <m:t>0</m:t>
                            </m:r>
                          </m:sub>
                          <m:sup>
                            <m:r>
                              <m:t>t</m:t>
                            </m:r>
                          </m:sup>
                          <m:e>
                            <m:r>
                              <m:t>λ</m:t>
                            </m:r>
                          </m:e>
                        </m:nary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d</m:t>
                        </m:r>
                        <m:r>
                          <m:t>u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λ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hazard</m:t>
                    </m:r>
                  </m:lim>
                </m:limLow>
                <m:limLow>
                  <m:e>
                    <m:limUpp>
                      <m:e>
                        <m:r>
                          <m:rPr>
                            <m:sty m:val="p"/>
                          </m:rPr>
                          <m:t>→</m:t>
                        </m:r>
                      </m:e>
                      <m:lim>
                        <m:r>
                          <m:rPr>
                            <m:sty m:val="p"/>
                          </m:rPr>
                          <m:t>log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λ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lim>
                    </m:limUpp>
                  </m:e>
                  <m:lim>
                    <m:limLow>
                      <m:e>
                        <m:limUpp>
                          <m:e>
                            <m:r>
                              <m:rPr>
                                <m:sty m:val="p"/>
                              </m:rPr>
                              <m:t>←</m:t>
                            </m:r>
                          </m:e>
                          <m:lim>
                            <m:r>
                              <m:t>​</m:t>
                            </m:r>
                          </m:lim>
                        </m:limUpp>
                      </m:e>
                      <m:lim>
                        <m:r>
                          <m:rPr>
                            <m:sty m:val="p"/>
                          </m:rPr>
                          <m:t>exp</m:t>
                        </m:r>
                        <m:r>
                          <m:t>​</m:t>
                        </m:r>
                        <m:d>
                          <m:dPr>
                            <m:begChr m:val="{"/>
                            <m:sepChr m:val=""/>
                            <m:endChr m:val="}"/>
                            <m:grow/>
                          </m:dPr>
                          <m:e>
                            <m:r>
                              <m:t>η</m:t>
                            </m:r>
                            <m:r>
                              <m:rPr>
                                <m:sty m:val="p"/>
                              </m:rPr>
                              <m:t>(</m:t>
                            </m:r>
                            <m:r>
                              <m:t>t</m:t>
                            </m:r>
                            <m:r>
                              <m:rPr>
                                <m:sty m:val="p"/>
                              </m:rPr>
                              <m:t>|</m:t>
                            </m:r>
                            <m:acc>
                              <m:accPr>
                                <m:chr m:val="̃"/>
                              </m:accPr>
                              <m:e>
                                <m:r>
                                  <m:t>x</m:t>
                                </m:r>
                              </m:e>
                            </m:acc>
                            <m:r>
                              <m:rPr>
                                <m:sty m:val="p"/>
                              </m:rPr>
                              <m:t>)</m:t>
                            </m:r>
                          </m:e>
                        </m:d>
                        <m:r>
                          <m:t>​</m:t>
                        </m:r>
                      </m:lim>
                    </m:limLow>
                  </m:lim>
                </m:limLow>
                <m:limLow>
                  <m:e>
                    <m:limLow>
                      <m:e>
                        <m:r>
                          <m:t>η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acc>
                          <m:accPr>
                            <m:chr m:val="̃"/>
                          </m:accPr>
                          <m:e>
                            <m:r>
                              <m:t>x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)</m:t>
                        </m:r>
                      </m:e>
                      <m:lim>
                        <m:r>
                          <m:rPr>
                            <m:sty m:val="p"/>
                          </m:rPr>
                          <m:t>⏟</m:t>
                        </m:r>
                      </m:lim>
                    </m:limLow>
                  </m:e>
                  <m:lim>
                    <m:r>
                      <m:rPr>
                        <m:nor/>
                        <m:sty m:val="p"/>
                      </m:rPr>
                      <m:t>log-hazard</m:t>
                    </m:r>
                  </m:lim>
                </m:limLow>
                <m:r>
                  <m:rPr>
                    <m:sty m:val="p"/>
                  </m:rPr>
                  <m:t>=</m:t>
                </m:r>
                <m:acc>
                  <m:accPr>
                    <m:chr m:val="̃"/>
                  </m:accPr>
                  <m:e>
                    <m:r>
                      <m:t>x</m:t>
                    </m:r>
                  </m:e>
                </m:acc>
                <m:r>
                  <m:rPr>
                    <m:sty m:val="p"/>
                  </m:rPr>
                  <m:t>⋅</m:t>
                </m:r>
                <m:acc>
                  <m:accPr>
                    <m:chr m:val="̃"/>
                  </m:accPr>
                  <m:e>
                    <m:r>
                      <m:t>β</m:t>
                    </m:r>
                  </m:e>
                </m:acc>
                <m:r>
                  <m:rPr>
                    <m:sty m:val="p"/>
                  </m:rPr>
                  <m:t>+</m:t>
                </m:r>
                <m:sSub>
                  <m:e>
                    <m:r>
                      <m:t>η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(</m:t>
                </m:r>
                <m:r>
                  <m:t>t</m:t>
                </m:r>
                <m:r>
                  <m:rPr>
                    <m:sty m:val="p"/>
                  </m:rPr>
                  <m:t>)</m:t>
                </m:r>
              </m:oMath>
            </m:oMathPara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Parallel structures of GLMs and survival models.</w:t>
            </w:r>
            <w:r>
              <w:t xml:space="preserve"> </w:t>
            </w:r>
            <w:r>
              <w:t xml:space="preserve">Each row shows the transformation chain from the modeled quantity</w:t>
            </w:r>
            <w:r>
              <w:t xml:space="preserve"> </w:t>
            </w:r>
            <w:r>
              <w:t xml:space="preserve">to the linear predictor</w:t>
            </w:r>
            <w:r>
              <w:t xml:space="preserve"> </w:t>
            </w:r>
            <m:oMath>
              <m:r>
                <m:t>η</m:t>
              </m:r>
              <m:r>
                <m:rPr>
                  <m:sty m:val="p"/>
                </m:rPr>
                <m:t>(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̃"/>
                </m:accPr>
                <m:e>
                  <m:r>
                    <m:t>x</m:t>
                  </m:r>
                </m:e>
              </m:acc>
              <m:r>
                <m:rPr>
                  <m:sty m:val="p"/>
                </m:rPr>
                <m:t>⋅</m:t>
              </m:r>
              <m:acc>
                <m:accPr>
                  <m:chr m:val="̃"/>
                </m:accPr>
                <m:e>
                  <m:r>
                    <m:t>β</m:t>
                  </m:r>
                </m:e>
              </m:acc>
              <m:r>
                <m:rPr>
                  <m:sty m:val="p"/>
                </m:rPr>
                <m:t>+</m:t>
              </m:r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denotes the model-specific intercept term,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η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denotes the Cox PH baseline log-hazard term.</w:t>
            </w:r>
          </w:p>
          <w:bookmarkEnd w:id="11"/>
        </w:tc>
      </w:tr>
    </w:tbl>
    <w:bookmarkEnd w:id="12"/>
    <w:bookmarkStart w:id="13" w:name="Xc3099c67c29afffd1262ecea75e085f92e21212"/>
    <w:p>
      <w:pPr>
        <w:pStyle w:val="Heading1"/>
      </w:pPr>
      <w:r>
        <w:t xml:space="preserve">3. We use maximum likelihood estimation to fit models to data</w:t>
      </w:r>
    </w:p>
    <w:p>
      <w:pPr>
        <w:pStyle w:val="Compact"/>
        <w:numPr>
          <w:ilvl w:val="0"/>
          <w:numId w:val="1003"/>
        </w:numPr>
      </w:pPr>
      <w:r>
        <w:t xml:space="preserve">likelihood</w:t>
      </w:r>
    </w:p>
    <w:p>
      <w:pPr>
        <w:pStyle w:val="Compact"/>
        <w:numPr>
          <w:ilvl w:val="0"/>
          <w:numId w:val="1003"/>
        </w:numPr>
      </w:pPr>
      <w:r>
        <w:t xml:space="preserve">log-likelihood</w:t>
      </w:r>
    </w:p>
    <w:p>
      <w:pPr>
        <w:pStyle w:val="Compact"/>
        <w:numPr>
          <w:ilvl w:val="0"/>
          <w:numId w:val="1003"/>
        </w:numPr>
      </w:pPr>
      <w:r>
        <w:t xml:space="preserve">score function</w:t>
      </w:r>
    </w:p>
    <w:p>
      <w:pPr>
        <w:pStyle w:val="Compact"/>
        <w:numPr>
          <w:ilvl w:val="0"/>
          <w:numId w:val="1003"/>
        </w:numPr>
      </w:pPr>
      <w:r>
        <w:t xml:space="preserve">hessian</w:t>
      </w:r>
    </w:p>
    <w:bookmarkEnd w:id="13"/>
    <w:bookmarkStart w:id="14" w:name="X1c9769e7215bdd02c9d57072e0a186a93c9d0ae"/>
    <w:p>
      <w:pPr>
        <w:pStyle w:val="Heading1"/>
      </w:pPr>
      <w:r>
        <w:t xml:space="preserve">4. We use asymptotic normality of MLEs to quantify uncertainty about models</w:t>
      </w:r>
    </w:p>
    <w:p>
      <w:pPr>
        <w:pStyle w:val="Compact"/>
        <w:numPr>
          <w:ilvl w:val="0"/>
          <w:numId w:val="1004"/>
        </w:numPr>
      </w:pPr>
      <w:r>
        <w:t xml:space="preserve">observed information matrix</w:t>
      </w:r>
    </w:p>
    <w:p>
      <w:pPr>
        <w:pStyle w:val="Compact"/>
        <w:numPr>
          <w:ilvl w:val="0"/>
          <w:numId w:val="1004"/>
        </w:numPr>
      </w:pPr>
      <w:r>
        <w:t xml:space="preserve">expected information matrix</w:t>
      </w:r>
    </w:p>
    <w:p>
      <w:pPr>
        <w:pStyle w:val="Compact"/>
        <w:numPr>
          <w:ilvl w:val="0"/>
          <w:numId w:val="1004"/>
        </w:numPr>
      </w:pPr>
      <w:r>
        <w:t xml:space="preserve">standard error</w:t>
      </w:r>
    </w:p>
    <w:p>
      <w:pPr>
        <w:pStyle w:val="Compact"/>
        <w:numPr>
          <w:ilvl w:val="0"/>
          <w:numId w:val="1004"/>
        </w:numPr>
      </w:pPr>
      <w:r>
        <w:t xml:space="preserve">confidence intervals</w:t>
      </w:r>
    </w:p>
    <w:p>
      <w:pPr>
        <w:pStyle w:val="Compact"/>
        <w:numPr>
          <w:ilvl w:val="0"/>
          <w:numId w:val="1004"/>
        </w:numPr>
      </w:pPr>
      <w:r>
        <w:t xml:space="preserve">p-values</w:t>
      </w:r>
    </w:p>
    <w:bookmarkEnd w:id="14"/>
    <w:bookmarkStart w:id="15" w:name="X91aeae81472a85e36e15aefa4616fba0df33778"/>
    <w:p>
      <w:pPr>
        <w:pStyle w:val="Heading1"/>
      </w:pPr>
      <w:r>
        <w:t xml:space="preserve">5. We use (log) likelihood ratios to compare models</w:t>
      </w:r>
    </w:p>
    <w:p>
      <w:pPr>
        <w:pStyle w:val="FirstParagraph"/>
      </w:pPr>
      <w:r>
        <w:t xml:space="preserve">Sometimes we adjust these comparisons for model size (AIC, BIC)</w:t>
      </w:r>
    </w:p>
    <w:bookmarkEnd w:id="15"/>
    <w:bookmarkStart w:id="17" w:name="references"/>
    <w:p>
      <w:pPr>
        <w:pStyle w:val="Heading1"/>
      </w:pPr>
      <w:r>
        <w:t xml:space="preserve">References</w:t>
      </w:r>
    </w:p>
    <w:bookmarkStart w:id="16" w:name="refs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of Regression Modeling Concepts</dc:title>
  <dc:creator/>
  <cp:keywords/>
  <dcterms:created xsi:type="dcterms:W3CDTF">2026-09-29T07:28:05Z</dcterms:created>
  <dcterms:modified xsi:type="dcterms:W3CDTF">2026-09-29T07:28:05Z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