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Notation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3" w:name="tbl-notation-collected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Notation used in this book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391"/>
              <w:gridCol w:w="5351"/>
              <w:gridCol w:w="1177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symbol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meaning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LaTeX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¬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not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\neg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∀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all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\forall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∃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some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\exists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∪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union,</w:t>
                  </w:r>
                  <w:r>
                    <w:t xml:space="preserve"> </w:t>
                  </w:r>
                  <w:r>
                    <w:t xml:space="preserve">“or”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\cup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∩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intersection,</w:t>
                  </w:r>
                  <w:r>
                    <w:t xml:space="preserve"> </w:t>
                  </w:r>
                  <w:r>
                    <w:t xml:space="preserve">“and”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\cap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∣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given, conditional 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\mid</w:t>
                  </w:r>
                  <w:r>
                    <w:t xml:space="preserve">,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|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∑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sum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\sum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∏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product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\prod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μ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mean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\mu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E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9">
                    <w:r>
                      <w:rPr>
                        <w:rStyle w:val="Hyperlink"/>
                      </w:rPr>
                      <w:t xml:space="preserve">expectation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\mathbb{E}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transpose of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x^{\top}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′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transpose or derivative</w:t>
                  </w:r>
                  <w:r>
                    <w:rPr>
                      <w:rStyle w:val="FootnoteReference"/>
                    </w:rPr>
                    <w:footnoteReference w:id="10"/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'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11">
                    <w:r>
                      <w:rPr>
                        <w:rStyle w:val="Hyperlink"/>
                      </w:rPr>
                      <w:t xml:space="preserve">independent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⫫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ty m:val="p"/>
                      </m:rPr>
                      <m:t>∴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therefore, thus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\therefore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η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hyperlink r:id="rId12">
                    <w:r>
                      <w:rPr>
                        <w:rStyle w:val="Hyperlink"/>
                      </w:rPr>
                      <w:t xml:space="preserve">linear component of a GLM</w:t>
                    </w:r>
                  </w:hyperlink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\eta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​</m:t>
                    </m:r>
                    <m:d>
                      <m:dPr>
                        <m:begChr m:val="⌊"/>
                        <m:sepChr m:val=""/>
                        <m:endChr m:val="⌋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floor of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  <w:r>
                    <w:t xml:space="preserve">: largest integer smaller than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\lfloor x \rfloor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​</m:t>
                    </m:r>
                    <m:d>
                      <m:dPr>
                        <m:begChr m:val="⌈"/>
                        <m:sepChr m:val=""/>
                        <m:endChr m:val="⌉"/>
                        <m:grow/>
                      </m:dPr>
                      <m:e>
                        <m:r>
                          <m:t>x</m:t>
                        </m:r>
                      </m:e>
                    </m:d>
                    <m:r>
                      <m:t>​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ceiling of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  <w:r>
                    <w:t xml:space="preserve">: smallest integer larger than</w:t>
                  </w:r>
                  <w:r>
                    <w:t xml:space="preserve"> </w:t>
                  </w:r>
                  <m:oMath>
                    <m:r>
                      <m:t>x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\lceil x \rceil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m:oMath>
                    <m:sSub>
                      <m:e>
                        <m:r>
                          <m:rPr>
                            <m:scr m:val="double-struck"/>
                            <m:sty m:val="p"/>
                          </m:rPr>
                          <m:t>1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rPr>
                        <m:scr m:val="double-struck"/>
                        <m:sty m:val="p"/>
                      </m:rPr>
                      <m:t>1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P</m:t>
                        </m:r>
                      </m:e>
                    </m:d>
                    <m:r>
                      <m:t>​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indicator function (</w:t>
                  </w:r>
                  <w:hyperlink w:anchor="sec-indicator-functions">
                    <w:r>
                      <w:rPr>
                        <w:rStyle w:val="Hyperlink"/>
                      </w:rPr>
                      <w:t xml:space="preserve">Section 4</w:t>
                    </w:r>
                  </w:hyperlink>
                  <w:r>
                    <w:t xml:space="preserve">):</w:t>
                  </w:r>
                  <w:r>
                    <w:t xml:space="preserve"> </w:t>
                  </w:r>
                  <m:oMath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condition holds,</w:t>
                  </w:r>
                  <w:r>
                    <w:t xml:space="preserve"> </w:t>
                  </w:r>
                  <m:oMath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otherwise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rPr>
                      <w:rStyle w:val="VerbatimChar"/>
                    </w:rPr>
                    <w:t xml:space="preserve">\indic{A}(x)</w:t>
                  </w:r>
                  <w:r>
                    <w:t xml:space="preserve">,</w:t>
                  </w:r>
                  <w:r>
                    <w:t xml:space="preserve"> </w:t>
                  </w:r>
                  <w:r>
                    <w:rPr>
                      <w:rStyle w:val="VerbatimChar"/>
                    </w:rPr>
                    <w:t xml:space="preserve">\indicp{P}</w:t>
                  </w:r>
                </w:p>
              </w:tc>
            </w:tr>
          </w:tbl>
          <w:bookmarkEnd w:id="13"/>
          <w:p/>
        </w:tc>
      </w:tr>
    </w:tbl>
    <w:bookmarkStart w:id="15" w:name="information-matrices"/>
    <w:p>
      <w:pPr>
        <w:pStyle w:val="Heading1"/>
      </w:pPr>
      <w:r>
        <w:t xml:space="preserve">1. Information matrices</w:t>
      </w:r>
    </w:p>
    <w:p>
      <w:pPr>
        <w:pStyle w:val="FirstParagraph"/>
      </w:pPr>
      <w:r>
        <w:t xml:space="preserve">There is no consistency in the notation for observed and expected information matrices</w:t>
      </w:r>
      <w:r>
        <w:t xml:space="preserve"> </w:t>
      </w:r>
      <w:r>
        <w:t xml:space="preserve">(see</w:t>
      </w:r>
      <w:r>
        <w:t xml:space="preserve"> </w:t>
      </w:r>
      <w:hyperlink w:anchor="tbl-info-mat-symbols">
        <w:r>
          <w:rPr>
            <w:rStyle w:val="Hyperlink"/>
          </w:rPr>
          <w:t xml:space="preserve">Table 2</w:t>
        </w:r>
      </w:hyperlink>
      <w:r>
        <w:t xml:space="preserve">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4" w:name="tbl-info-mat-symbol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notation for information matrices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book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observed information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expected information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Dobson and Barnett (2018)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U</m:t>
                        </m:r>
                      </m:e>
                      <m:sup>
                        <m:r>
                          <m:rPr>
                            <m:sty m:val="p"/>
                          </m:rPr>
                          <m:t>′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cr m:val="fraktur"/>
                        <m:sty m:val="p"/>
                      </m:rPr>
                      <m:t>I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Dunn and Smyth (2018)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cr m:val="fraktur"/>
                        <m:sty m:val="p"/>
                      </m:rPr>
                      <m:t>I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cr m:val="script"/>
                        <m:sty m:val="p"/>
                      </m:rPr>
                      <m:t>I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McLachlan and Krishnan (2007)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t>I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cr m:val="script"/>
                        <m:sty m:val="p"/>
                      </m:rPr>
                      <m:t>I</m:t>
                    </m:r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Wood (2017)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acc>
                      <m:accPr>
                        <m:chr m:val="̂"/>
                      </m:accPr>
                      <m:e>
                        <m:r>
                          <m:t>I</m:t>
                        </m:r>
                      </m:e>
                    </m:acc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r>
                      <m:rPr>
                        <m:scr m:val="script"/>
                        <m:sty m:val="p"/>
                      </m:rPr>
                      <m:t>I</m:t>
                    </m:r>
                  </m:oMath>
                  <w:r>
                    <w:t xml:space="preserve">​</w:t>
                  </w:r>
                </w:p>
              </w:tc>
            </w:tr>
          </w:tbl>
          <w:bookmarkEnd w:id="14"/>
          <w:p/>
        </w:tc>
      </w:tr>
    </w:tbl>
    <w:p>
      <w:pPr>
        <w:pStyle w:val="BodyText"/>
      </w:pPr>
      <w:r>
        <w:t xml:space="preserve">These notes currently have a mixture of notations,</w:t>
      </w:r>
      <w:r>
        <w:t xml:space="preserve"> </w:t>
      </w:r>
      <w:r>
        <w:t xml:space="preserve">depending on my whims and what reference I had last looked at.</w:t>
      </w:r>
      <w:r>
        <w:t xml:space="preserve"> </w:t>
      </w:r>
      <w:r>
        <w:t xml:space="preserve">Eventually, I will try to standardize my notation to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for observed information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cr m:val="script"/>
            <m:sty m:val="p"/>
          </m:rPr>
          <m:t>I</m:t>
        </m:r>
      </m:oMath>
      <w:r>
        <w:t xml:space="preserve"> </w:t>
      </w:r>
      <w:r>
        <w:t xml:space="preserve">for expected information.</w:t>
      </w:r>
    </w:p>
    <w:bookmarkEnd w:id="15"/>
    <w:bookmarkStart w:id="17" w:name="percent-sign"/>
    <w:p>
      <w:pPr>
        <w:pStyle w:val="Heading1"/>
      </w:pPr>
      <w:r>
        <w:t xml:space="preserve">2. Percent sign (</w:t>
      </w:r>
      <w:r>
        <w:t xml:space="preserve">“%”</w:t>
      </w:r>
      <w:r>
        <w:t xml:space="preserve">)</w:t>
      </w:r>
    </w:p>
    <w:p>
      <w:pPr>
        <w:pStyle w:val="FirstParagraph"/>
      </w:pPr>
      <w:r>
        <w:t xml:space="preserve">The percent sign</w:t>
      </w:r>
      <w:r>
        <w:t xml:space="preserve"> </w:t>
      </w:r>
      <w:r>
        <w:t xml:space="preserve">“%”</w:t>
      </w:r>
      <w:r>
        <w:t xml:space="preserve"> </w:t>
      </w:r>
      <w:r>
        <w:t xml:space="preserve">is just a shorthand for</w:t>
      </w:r>
      <w:r>
        <w:t xml:space="preserve"> </w:t>
      </w:r>
      <w:r>
        <w:t xml:space="preserve">“</w:t>
      </w:r>
      <m:oMath>
        <m:r>
          <m:rPr>
            <m:sty m:val="p"/>
          </m:rPr>
          <m:t>/</m:t>
        </m:r>
        <m:r>
          <m:t>100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The word</w:t>
      </w:r>
      <w:r>
        <w:t xml:space="preserve"> </w:t>
      </w:r>
      <w:r>
        <w:t xml:space="preserve">“percent”</w:t>
      </w:r>
      <w:r>
        <w:t xml:space="preserve"> </w:t>
      </w:r>
      <w:r>
        <w:t xml:space="preserve">comes from the Latin</w:t>
      </w:r>
      <w:r>
        <w:t xml:space="preserve"> </w:t>
      </w:r>
      <w:r>
        <w:t xml:space="preserve">“per centum”</w:t>
      </w:r>
      <w:r>
        <w:t xml:space="preserve">;</w:t>
      </w:r>
      <w:r>
        <w:t xml:space="preserve"> </w:t>
      </w:r>
      <w:r>
        <w:t xml:space="preserve">“centum”</w:t>
      </w:r>
      <w:r>
        <w:t xml:space="preserve"> </w:t>
      </w:r>
      <w:r>
        <w:t xml:space="preserve">is Latin for 100,</w:t>
      </w:r>
      <w:r>
        <w:t xml:space="preserve"> </w:t>
      </w:r>
      <w:r>
        <w:t xml:space="preserve">so</w:t>
      </w:r>
      <w:r>
        <w:t xml:space="preserve"> </w:t>
      </w:r>
      <w:r>
        <w:t xml:space="preserve">“percent”</w:t>
      </w:r>
      <w:r>
        <w:t xml:space="preserve"> </w:t>
      </w:r>
      <w:r>
        <w:t xml:space="preserve">means</w:t>
      </w:r>
      <w:r>
        <w:t xml:space="preserve"> </w:t>
      </w:r>
      <w:r>
        <w:t xml:space="preserve">“per hundred”</w:t>
      </w:r>
      <w:r>
        <w:t xml:space="preserve"> </w:t>
      </w:r>
      <w:r>
        <w:t xml:space="preserve">(c.f.,</w:t>
      </w:r>
      <w:r>
        <w:t xml:space="preserve"> </w:t>
      </w:r>
      <w:hyperlink r:id="rId16">
        <w:r>
          <w:rPr>
            <w:rStyle w:val="Hyperlink"/>
          </w:rPr>
          <w:t xml:space="preserve">https://en.wikipedia.org/wiki/Percentage</w:t>
        </w:r>
      </w:hyperlink>
      <w:r>
        <w:t xml:space="preserve">)</w:t>
      </w:r>
    </w:p>
    <w:p>
      <w:pPr>
        <w:pStyle w:val="BodyText"/>
      </w:pPr>
      <w:r>
        <w:t xml:space="preserve">So, contrary to what you may have learned previously,</w:t>
      </w:r>
      <w:r>
        <w:t xml:space="preserve"> </w:t>
      </w:r>
      <m:oMath>
        <m:r>
          <m:t>10</m:t>
        </m:r>
        <m:r>
          <m:rPr>
            <m:sty m:val="p"/>
          </m:rPr>
          <m:t>%</m:t>
        </m:r>
        <m:r>
          <m:rPr>
            <m:sty m:val="p"/>
          </m:rPr>
          <m:t>=</m:t>
        </m:r>
        <m:r>
          <m:t>0.1</m:t>
        </m:r>
      </m:oMath>
      <w:r>
        <w:t xml:space="preserve"> </w:t>
      </w:r>
      <w:r>
        <w:t xml:space="preserve">is a true and correct equality,</w:t>
      </w:r>
      <w:r>
        <w:t xml:space="preserve"> </w:t>
      </w:r>
      <w:r>
        <w:t xml:space="preserve">just as</w:t>
      </w:r>
      <w:r>
        <w:t xml:space="preserve"> </w:t>
      </w:r>
      <m:oMath>
        <m:r>
          <m:t>10</m:t>
        </m:r>
        <m:r>
          <m:rPr>
            <m:nor/>
            <m:sty m:val="p"/>
          </m:rPr>
          <m:t>kg</m:t>
        </m:r>
        <m:r>
          <m:rPr>
            <m:sty m:val="p"/>
          </m:rPr>
          <m:t>=</m:t>
        </m:r>
        <m:r>
          <m:t>10</m:t>
        </m:r>
        <m:r>
          <m:rPr>
            <m:sty m:val="p"/>
          </m:rPr>
          <m:t>,</m:t>
        </m:r>
        <m:r>
          <m:t>000</m:t>
        </m:r>
        <m:r>
          <m:rPr>
            <m:nor/>
            <m:sty m:val="p"/>
          </m:rPr>
          <m:t>g</m:t>
        </m:r>
      </m:oMath>
      <w:r>
        <w:t xml:space="preserve"> </w:t>
      </w:r>
      <w:r>
        <w:t xml:space="preserve">is true and correct.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10</m:t>
                    </m:r>
                    <m:r>
                      <m:rPr>
                        <m:sty m:val="p"/>
                      </m:rPr>
                      <m:t>%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10</m:t>
                    </m:r>
                    <m:r>
                      <m:rPr>
                        <m:sty m:val="p"/>
                      </m:rPr>
                      <m:t>/</m:t>
                    </m:r>
                    <m:r>
                      <m:t>100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10</m:t>
                        </m:r>
                      </m:num>
                      <m:den>
                        <m:r>
                          <m:t>100</m:t>
                        </m:r>
                      </m:den>
                    </m:f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You are welcome to switch between decimal and percent notation freely;</w:t>
      </w:r>
      <w:r>
        <w:t xml:space="preserve"> </w:t>
      </w:r>
      <w:r>
        <w:t xml:space="preserve">just make sure you execute it correctly.</w:t>
      </w:r>
    </w:p>
    <w:bookmarkEnd w:id="17"/>
    <w:bookmarkStart w:id="19" w:name="proofs"/>
    <w:p>
      <w:pPr>
        <w:pStyle w:val="Heading1"/>
      </w:pPr>
      <w:r>
        <w:t xml:space="preserve">3. Proofs</w:t>
      </w:r>
    </w:p>
    <w:p>
      <w:pPr>
        <w:pStyle w:val="FirstParagraph"/>
      </w:pPr>
      <w:r>
        <w:t xml:space="preserve">We can use any of:</w:t>
      </w:r>
    </w:p>
    <w:p>
      <w:pPr>
        <w:pStyle w:val="Compact"/>
        <w:numPr>
          <w:ilvl w:val="0"/>
          <w:numId w:val="1001"/>
        </w:numPr>
      </w:pPr>
      <m:oMath>
        <m:r>
          <m:rPr>
            <m:sty m:val="p"/>
          </m:rPr>
          <m:t>∴</m:t>
        </m:r>
      </m:oMath>
      <w:r>
        <w:t xml:space="preserve"> </w:t>
      </w:r>
      <w:r>
        <w:t xml:space="preserve">(</w:t>
      </w:r>
      <w:r>
        <w:rPr>
          <w:rStyle w:val="VerbatimChar"/>
        </w:rPr>
        <w:t xml:space="preserve">\therefore</w:t>
      </w:r>
      <w:r>
        <w:t xml:space="preserve"> </w:t>
      </w:r>
      <w:r>
        <w:t xml:space="preserve">in LaTeX),</w:t>
      </w:r>
    </w:p>
    <w:p>
      <w:pPr>
        <w:pStyle w:val="Compact"/>
        <w:numPr>
          <w:ilvl w:val="0"/>
          <w:numId w:val="1001"/>
        </w:numPr>
      </w:pPr>
      <m:oMath>
        <m:r>
          <m:rPr>
            <m:sty m:val="p"/>
          </m:rPr>
          <m:t>⇒</m:t>
        </m:r>
      </m:oMath>
      <w:r>
        <w:t xml:space="preserve"> </w:t>
      </w:r>
      <w:r>
        <w:t xml:space="preserve">(</w:t>
      </w:r>
      <w:r>
        <w:rPr>
          <w:rStyle w:val="VerbatimChar"/>
        </w:rPr>
        <w:t xml:space="preserve">\Rightarrow</w:t>
      </w:r>
      <w:r>
        <w:t xml:space="preserve">),</w:t>
      </w:r>
    </w:p>
    <w:p>
      <w:pPr>
        <w:pStyle w:val="Compact"/>
        <w:numPr>
          <w:ilvl w:val="0"/>
          <w:numId w:val="1001"/>
        </w:numPr>
      </w:pPr>
      <m:oMath>
        <m:r>
          <m:rPr>
            <m:sty m:val="p"/>
          </m:rPr>
          <m:t>⊨</m:t>
        </m:r>
      </m:oMath>
      <w:r>
        <w:t xml:space="preserve"> </w:t>
      </w:r>
      <w:r>
        <w:t xml:space="preserve">(</w:t>
      </w:r>
      <w:r>
        <w:rPr>
          <w:rStyle w:val="VerbatimChar"/>
        </w:rPr>
        <w:t xml:space="preserve">\models</w:t>
      </w:r>
      <w:r>
        <w:t xml:space="preserve">)</w:t>
      </w:r>
    </w:p>
    <w:p>
      <w:pPr>
        <w:pStyle w:val="FirstParagraph"/>
      </w:pPr>
      <w:r>
        <w:t xml:space="preserve">to denote logical entailments (deductive consequences).</w:t>
      </w:r>
    </w:p>
    <w:p>
      <w:pPr>
        <w:pStyle w:val="BodyText"/>
      </w:pPr>
      <w:r>
        <w:t xml:space="preserve">Let’s save</w:t>
      </w:r>
      <w:r>
        <w:t xml:space="preserve"> </w:t>
      </w:r>
      <m:oMath>
        <m:r>
          <m:rPr>
            <m:sty m:val="p"/>
          </m:rPr>
          <m:t>→</m:t>
        </m:r>
      </m:oMath>
      <w:r>
        <w:t xml:space="preserve"> </w:t>
      </w:r>
      <w:r>
        <w:t xml:space="preserve">(</w:t>
      </w:r>
      <w:r>
        <w:rPr>
          <w:rStyle w:val="VerbatimChar"/>
        </w:rPr>
        <w:t xml:space="preserve">\rightarrow</w:t>
      </w:r>
      <w:r>
        <w:t xml:space="preserve">) for convergence results.</w:t>
      </w:r>
    </w:p>
    <w:p>
      <w:pPr>
        <w:pStyle w:val="BodyText"/>
      </w:pPr>
      <w:r>
        <w:t xml:space="preserve">See</w:t>
      </w:r>
      <w:r>
        <w:t xml:space="preserve"> </w:t>
      </w:r>
      <w:hyperlink r:id="rId18">
        <w:r>
          <w:rPr>
            <w:rStyle w:val="Hyperlink"/>
          </w:rPr>
          <w:t xml:space="preserve">Proof Writing</w:t>
        </w:r>
      </w:hyperlink>
      <w:r>
        <w:t xml:space="preserve"> </w:t>
      </w:r>
      <w:r>
        <w:t xml:space="preserve">for general guidance on how to present proofs and derivations.</w:t>
      </w:r>
    </w:p>
    <w:bookmarkEnd w:id="19"/>
    <w:bookmarkStart w:id="33" w:name="sec-indicator-functions"/>
    <w:p>
      <w:pPr>
        <w:pStyle w:val="Heading1"/>
      </w:pPr>
      <w:r>
        <w:t xml:space="preserve">4. Indicator functions</w:t>
      </w:r>
    </w:p>
    <w:p>
      <w:pPr>
        <w:pStyle w:val="FirstParagraph"/>
      </w:pPr>
      <w:r>
        <w:t xml:space="preserve">An</w:t>
      </w:r>
      <w:r>
        <w:t xml:space="preserve"> </w:t>
      </w:r>
      <w:r>
        <w:rPr>
          <w:b/>
          <w:bCs/>
        </w:rPr>
        <w:t xml:space="preserve">indicator function</w:t>
      </w:r>
      <w:r>
        <w:t xml:space="preserve"> </w:t>
      </w:r>
      <w:r>
        <w:t xml:space="preserve">is a mathematical function that signals</w:t>
      </w:r>
      <w:r>
        <w:t xml:space="preserve"> </w:t>
      </w:r>
      <w:r>
        <w:t xml:space="preserve">whether an element belongs to a specified set,</w:t>
      </w:r>
      <w:r>
        <w:t xml:space="preserve"> </w:t>
      </w:r>
      <w:r>
        <w:t xml:space="preserve">or whether a given logical condition is satisfied.</w:t>
      </w:r>
      <w:r>
        <w:t xml:space="preserve"> </w:t>
      </w:r>
      <w:r>
        <w:t xml:space="preserve">In statistics and epidemiology,</w:t>
      </w:r>
      <w:r>
        <w:t xml:space="preserve"> </w:t>
      </w:r>
      <w:r>
        <w:t xml:space="preserve">indicator functions are ubiquitous:</w:t>
      </w:r>
      <w:r>
        <w:t xml:space="preserve"> </w:t>
      </w:r>
      <w:r>
        <w:t xml:space="preserve">they represent binary variables,</w:t>
      </w:r>
      <w:r>
        <w:t xml:space="preserve"> </w:t>
      </w:r>
      <w:r>
        <w:t xml:space="preserve">censor and event indicators in survival analysis,</w:t>
      </w:r>
      <w:r>
        <w:t xml:space="preserve"> </w:t>
      </w:r>
      <w:r>
        <w:t xml:space="preserve">membership in subpopulations,</w:t>
      </w:r>
      <w:r>
        <w:t xml:space="preserve"> </w:t>
      </w:r>
      <w:r>
        <w:t xml:space="preserve">and domain restrictions in integrals and sums.</w:t>
      </w:r>
    </w:p>
    <w:p>
      <w:pPr>
        <w:pStyle w:val="BodyText"/>
      </w:pPr>
      <w:r>
        <w:t xml:space="preserve">Despite their conceptual simplicity,</w:t>
      </w:r>
      <w:r>
        <w:t xml:space="preserve"> </w:t>
      </w:r>
      <w:r>
        <w:t xml:space="preserve">notation for indicator functions varies substantially across textbooks,</w:t>
      </w:r>
      <w:r>
        <w:t xml:space="preserve"> </w:t>
      </w:r>
      <w:r>
        <w:t xml:space="preserve">research papers,</w:t>
      </w:r>
      <w:r>
        <w:t xml:space="preserve"> </w:t>
      </w:r>
      <w:r>
        <w:t xml:space="preserve">and subfields.</w:t>
      </w:r>
      <w:r>
        <w:t xml:space="preserve"> </w:t>
      </w:r>
      <w:r>
        <w:t xml:space="preserve">This section summarizes the principal notational conventions.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0" w:name="def-indicator-function"/>
          <w:p>
            <w:pPr>
              <w:pStyle w:val="BodyText"/>
            </w:pPr>
            <w:r>
              <w:rPr>
                <w:b/>
                <w:bCs/>
              </w:rPr>
              <w:t xml:space="preserve">Definition 1 (Indicator function)</w:t>
            </w:r>
            <w:r>
              <w:t xml:space="preserve"> </w:t>
            </w:r>
            <w:r>
              <w:t xml:space="preserve">For any subset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⊆</m:t>
              </m:r>
              <m:r>
                <m:rPr>
                  <m:sty m:val="p"/>
                </m:rPr>
                <m:t>Ω</m:t>
              </m:r>
            </m:oMath>
            <w:r>
              <w:t xml:space="preserve"> </w:t>
            </w:r>
            <w:r>
              <w:t xml:space="preserve">of a universal set</w:t>
            </w:r>
            <w:r>
              <w:t xml:space="preserve"> </w:t>
            </w:r>
            <m:oMath>
              <m:r>
                <m:rPr>
                  <m:sty m:val="p"/>
                </m:rPr>
                <m:t>Ω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indicator function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the function</w:t>
            </w:r>
            <w:r>
              <w:t xml:space="preserve"> </w:t>
            </w:r>
            <m:oMath>
              <m:sSub>
                <m:e>
                  <m:r>
                    <m:rPr>
                      <m:scr m:val="double-struck"/>
                      <m:sty m:val="p"/>
                    </m:rPr>
                    <m:t>1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:</m:t>
              </m:r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→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defined by: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rPr>
                        <m:scr m:val="double-struck"/>
                        <m:sty m:val="p"/>
                      </m:rPr>
                      <m:t>1</m:t>
                    </m:r>
                  </m:e>
                  <m:sub>
                    <m:r>
                      <m:t>A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x</m:t>
                </m:r>
                <m:r>
                  <m:rPr>
                    <m:sty m:val="p"/>
                  </m:rPr>
                  <m:t>)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d>
                  <m:dPr>
                    <m:begChr m:val="{"/>
                    <m:sepChr m:val=""/>
                    <m:endChr m:val="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left"/>
                              <m:count m:val="1"/>
                            </m:mcPr>
                          </m:mc>
                          <m:mc>
                            <m:mcPr>
                              <m:mcJc m:val="left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</m:e>
                        <m:e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∈</m:t>
                          </m:r>
                          <m:r>
                            <m:t>A</m:t>
                          </m:r>
                        </m:e>
                      </m:mr>
                      <m:mr>
                        <m:e>
                          <m:r>
                            <m:t>0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</m:e>
                        <m:e>
                          <m:r>
                            <m:t>x</m:t>
                          </m:r>
                          <m:r>
                            <m:rPr>
                              <m:sty m:val="p"/>
                            </m:rPr>
                            <m:t>∉</m:t>
                          </m:r>
                          <m:r>
                            <m:t>A</m:t>
                          </m:r>
                        </m:e>
                      </m:mr>
                    </m:m>
                  </m:e>
                </m:d>
              </m:oMath>
            </m:oMathPara>
          </w:p>
          <w:p>
            <w:pPr>
              <w:pStyle w:val="FirstParagraph"/>
            </w:pPr>
            <w:r>
              <w:t xml:space="preserve">More generally,</w:t>
            </w:r>
            <w:r>
              <w:t xml:space="preserve"> </w:t>
            </w:r>
            <w:r>
              <w:t xml:space="preserve">for any logical proposition or predicate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indicator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takes the value</w:t>
            </w:r>
            <w:r>
              <w:t xml:space="preserve"> </w:t>
            </w:r>
            <m:oMath>
              <m:r>
                <m:t>1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is true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0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P</m:t>
              </m:r>
            </m:oMath>
            <w:r>
              <w:t xml:space="preserve"> </w:t>
            </w:r>
            <w:r>
              <w:t xml:space="preserve">is false: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cr m:val="double-struck"/>
                    <m:sty m:val="p"/>
                  </m:rPr>
                  <m:t>1</m:t>
                </m:r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r>
                      <m:t>P</m:t>
                    </m:r>
                  </m:e>
                </m:d>
                <m:r>
                  <m:t>​</m:t>
                </m:r>
                <m:limUpp>
                  <m:e>
                    <m:r>
                      <m:rPr>
                        <m:sty m:val="p"/>
                      </m:rPr>
                      <m:t>=</m:t>
                    </m:r>
                  </m:e>
                  <m:lim>
                    <m:r>
                      <m:rPr>
                        <m:nor/>
                        <m:sty m:val="p"/>
                      </m:rPr>
                      <m:t>def</m:t>
                    </m:r>
                  </m:lim>
                </m:limUpp>
                <m:d>
                  <m:dPr>
                    <m:begChr m:val="{"/>
                    <m:sepChr m:val=""/>
                    <m:endChr m:val=""/>
                    <m:grow/>
                  </m:dPr>
                  <m:e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left"/>
                              <m:count m:val="1"/>
                            </m:mcPr>
                          </m:mc>
                          <m:mc>
                            <m:mcPr>
                              <m:mcJc m:val="left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</m:e>
                        <m:e>
                          <m:r>
                            <m:rPr>
                              <m:nor/>
                              <m:sty m:val="p"/>
                            </m:rPr>
                            <m:t>if </m:t>
                          </m:r>
                          <m:r>
                            <m:t>P</m:t>
                          </m:r>
                          <m:r>
                            <m:rPr>
                              <m:nor/>
                              <m:sty m:val="p"/>
                            </m:rPr>
                            <m:t> is true</m:t>
                          </m:r>
                        </m:e>
                      </m:mr>
                      <m:mr>
                        <m:e>
                          <m:r>
                            <m:t>0</m:t>
                          </m:r>
                          <m:r>
                            <m:rPr>
                              <m:sty m:val="p"/>
                            </m:rPr>
                            <m:t>,</m:t>
                          </m:r>
                        </m:e>
                        <m:e>
                          <m:r>
                            <m:rPr>
                              <m:nor/>
                              <m:sty m:val="p"/>
                            </m:rPr>
                            <m:t>if </m:t>
                          </m:r>
                          <m:r>
                            <m:t>P</m:t>
                          </m:r>
                          <m:r>
                            <m:rPr>
                              <m:nor/>
                              <m:sty m:val="p"/>
                            </m:rPr>
                            <m:t> is false</m:t>
                          </m:r>
                        </m:e>
                      </m:mr>
                    </m:m>
                  </m:e>
                </m:d>
              </m:oMath>
            </m:oMathPara>
          </w:p>
          <w:bookmarkEnd w:id="2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21" w:name="exm-indicator-numerical"/>
          <w:p>
            <w:pPr>
              <w:pStyle w:val="BodyText"/>
            </w:pPr>
            <w:r>
              <w:rPr>
                <w:b/>
                <w:bCs/>
              </w:rPr>
              <w:t xml:space="preserve">Example 1 (Evaluating set and predicate indicators)</w:t>
            </w:r>
            <w:r>
              <w:t xml:space="preserve"> </w:t>
            </w:r>
            <w:r>
              <w:t xml:space="preserve">Consider the real line</w:t>
            </w:r>
            <w:r>
              <w:t xml:space="preserve"> </w:t>
            </w:r>
            <m:oMath>
              <m:r>
                <m:rPr>
                  <m:sty m:val="p"/>
                </m:rPr>
                <m:t>Ω</m:t>
              </m:r>
              <m:r>
                <m:rPr>
                  <m:sty m:val="p"/>
                </m:rPr>
                <m:t>=</m:t>
              </m:r>
              <m:r>
                <m:rPr>
                  <m:scr m:val="double-struck"/>
                  <m:sty m:val="p"/>
                </m:rPr>
                <m:t>R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set of nonnegative numbers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a continuous random variable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Set indicator</w:t>
            </w:r>
            <w:r>
              <w:t xml:space="preserve"> </w:t>
            </w:r>
            <m:oMath>
              <m:sSub>
                <m:e>
                  <m:r>
                    <m:rPr>
                      <m:scr m:val="double-struck"/>
                      <m:sty m:val="p"/>
                    </m:rPr>
                    <m:t>1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1"/>
                <w:numId w:val="1003"/>
              </w:numPr>
            </w:pPr>
            <w:r>
              <w:t xml:space="preserve">For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t>3.5</m:t>
              </m:r>
            </m:oMath>
            <w:r>
              <w:t xml:space="preserve">: since</w:t>
            </w:r>
            <w:r>
              <w:t xml:space="preserve"> </w:t>
            </w:r>
            <m:oMath>
              <m:r>
                <m:t>3.5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rPr>
                      <m:scr m:val="double-struck"/>
                      <m:sty m:val="p"/>
                    </m:rPr>
                    <m:t>1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(</m:t>
              </m:r>
              <m:r>
                <m:t>3.5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1"/>
                <w:numId w:val="1003"/>
              </w:numPr>
            </w:pPr>
            <w:r>
              <w:t xml:space="preserve">For</w:t>
            </w:r>
            <w:r>
              <w:t xml:space="preserve"> </w:t>
            </w:r>
            <m:oMath>
              <m:r>
                <m:t>x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2.1</m:t>
              </m:r>
            </m:oMath>
            <w:r>
              <w:t xml:space="preserve">: since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2.1</m:t>
              </m:r>
              <m:r>
                <m:rPr>
                  <m:sty m:val="p"/>
                </m:rPr>
                <m:t>∉</m:t>
              </m:r>
              <m:r>
                <m:rPr>
                  <m:sty m:val="p"/>
                </m:rPr>
                <m:t>[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∞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rPr>
                      <m:scr m:val="double-struck"/>
                      <m:sty m:val="p"/>
                    </m:rPr>
                    <m:t>1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2.1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Predicate indicator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1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&gt;</m:t>
                  </m:r>
                  <m:r>
                    <m:t>5</m:t>
                  </m:r>
                </m:e>
              </m:d>
              <m:r>
                <m:t>​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1"/>
                <w:numId w:val="1004"/>
              </w:numPr>
            </w:pPr>
            <w:r>
              <w:t xml:space="preserve">If an observation yields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7.2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predicate</w:t>
            </w:r>
            <w:r>
              <w:t xml:space="preserve"> </w:t>
            </w:r>
            <m:oMath>
              <m:r>
                <m:t>7.2</m:t>
              </m:r>
              <m:r>
                <m:rPr>
                  <m:sty m:val="p"/>
                </m:rPr>
                <m:t>&gt;</m:t>
              </m:r>
              <m:r>
                <m:t>5</m:t>
              </m:r>
            </m:oMath>
            <w:r>
              <w:t xml:space="preserve"> </w:t>
            </w:r>
            <w:r>
              <w:t xml:space="preserve">is true,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1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7.2</m:t>
                  </m:r>
                  <m:r>
                    <m:rPr>
                      <m:sty m:val="p"/>
                    </m:rPr>
                    <m:t>&gt;</m:t>
                  </m:r>
                  <m:r>
                    <m:t>5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1"/>
                <w:numId w:val="1004"/>
              </w:numPr>
            </w:pPr>
            <w:r>
              <w:t xml:space="preserve">If an observation yields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4.1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predicate</w:t>
            </w:r>
            <w:r>
              <w:t xml:space="preserve"> </w:t>
            </w:r>
            <m:oMath>
              <m:r>
                <m:t>4.1</m:t>
              </m:r>
              <m:r>
                <m:rPr>
                  <m:sty m:val="p"/>
                </m:rPr>
                <m:t>&gt;</m:t>
              </m:r>
              <m:r>
                <m:t>5</m:t>
              </m:r>
            </m:oMath>
            <w:r>
              <w:t xml:space="preserve"> </w:t>
            </w:r>
            <w:r>
              <w:t xml:space="preserve">is false,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cr m:val="double-struck"/>
                  <m:sty m:val="p"/>
                </m:rPr>
                <m:t>1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4.1</m:t>
                  </m:r>
                  <m:r>
                    <m:rPr>
                      <m:sty m:val="p"/>
                    </m:rPr>
                    <m:t>&gt;</m:t>
                  </m:r>
                  <m:r>
                    <m:t>5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21"/>
          <w:p/>
        </w:tc>
      </w:tr>
    </w:tbl>
    <w:bookmarkStart w:id="25" w:name="X156504d913efc1f49ad7c2e43ace68824d2fb5d"/>
    <w:p>
      <w:pPr>
        <w:pStyle w:val="Heading2"/>
      </w:pPr>
      <w:r>
        <w:t xml:space="preserve">4.1 Two primary notational paradigms: set vs. predicate notation</w:t>
      </w:r>
    </w:p>
    <w:p>
      <w:pPr>
        <w:pStyle w:val="FirstParagraph"/>
      </w:pPr>
      <w:r>
        <w:t xml:space="preserve">The vast majority of indicator notations belong to one of two families:</w:t>
      </w:r>
      <w:r>
        <w:t xml:space="preserve"> </w:t>
      </w:r>
      <w:r>
        <w:rPr>
          <w:b/>
          <w:bCs/>
        </w:rPr>
        <w:t xml:space="preserve">set notation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predicate notation</w:t>
      </w:r>
      <w:r>
        <w:t xml:space="preserve">.</w:t>
      </w:r>
    </w:p>
    <w:bookmarkStart w:id="22" w:name="set-notation"/>
    <w:p>
      <w:pPr>
        <w:pStyle w:val="Heading3"/>
      </w:pPr>
      <w:r>
        <w:t xml:space="preserve">4.1.1 Set notation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/>
          <w:bCs/>
        </w:rPr>
        <w:t xml:space="preserve">set notation</w:t>
      </w:r>
      <w:r>
        <w:t xml:space="preserve">,</w:t>
      </w:r>
      <w:r>
        <w:t xml:space="preserve"> </w:t>
      </w:r>
      <w:r>
        <w:t xml:space="preserve">the indicator is tied to a set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which appears as a subscript: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rPr>
                <m:sty m:val="b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(bold numeral one)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(blackboard bold numeral one)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t>I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(capital letter</w:t>
      </w:r>
      <w:r>
        <w:t xml:space="preserve"> </w:t>
      </w:r>
      <m:oMath>
        <m:r>
          <m:t>I</m:t>
        </m:r>
      </m:oMath>
      <w:r>
        <w:t xml:space="preserve">)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rPr>
                <m:scr m:val="double-struck"/>
                <m:sty m:val="p"/>
              </m:rPr>
              <m:t>I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(blackboard bold letter</w:t>
      </w:r>
      <w:r>
        <w:t xml:space="preserve"> </w:t>
      </w:r>
      <m:oMath>
        <m:r>
          <m:t>I</m:t>
        </m:r>
      </m:oMath>
      <w:r>
        <w:t xml:space="preserve">)</w:t>
      </w:r>
    </w:p>
    <w:p>
      <w:pPr>
        <w:pStyle w:val="Compact"/>
        <w:numPr>
          <w:ilvl w:val="0"/>
          <w:numId w:val="1005"/>
        </w:numPr>
      </w:pPr>
      <m:oMath>
        <m:sSub>
          <m:e>
            <m:r>
              <m:t>χ</m:t>
            </m:r>
          </m:e>
          <m:sub>
            <m:r>
              <m:t>A</m:t>
            </m:r>
          </m:sub>
        </m:sSub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(Greek letter chi, historically termed the</w:t>
      </w:r>
      <w:r>
        <w:t xml:space="preserve"> </w:t>
      </w:r>
      <w:r>
        <w:rPr>
          <w:i/>
          <w:iCs/>
        </w:rPr>
        <w:t xml:space="preserve">characteristic function</w:t>
      </w:r>
      <w:r>
        <w:t xml:space="preserve">)</w:t>
      </w:r>
    </w:p>
    <w:p>
      <w:pPr>
        <w:pStyle w:val="FirstParagraph"/>
      </w:pPr>
      <w:r>
        <w:t xml:space="preserve">When the function is viewed as a mathematical object in its own right</w:t>
      </w:r>
      <w:r>
        <w:t xml:space="preserve"> </w:t>
      </w:r>
      <w:r>
        <w:t xml:space="preserve">(for instance, as an element of an</w:t>
      </w:r>
      <w:r>
        <w:t xml:space="preserve"> </w:t>
      </w:r>
      <m:oMath>
        <m:sSup>
          <m:e>
            <m:r>
              <m:t>L</m:t>
            </m:r>
          </m:e>
          <m:sup>
            <m:r>
              <m:t>p</m:t>
            </m:r>
          </m:sup>
        </m:sSup>
      </m:oMath>
      <w:r>
        <w:t xml:space="preserve"> </w:t>
      </w:r>
      <w:r>
        <w:t xml:space="preserve">function space),</w:t>
      </w:r>
      <w:r>
        <w:t xml:space="preserve"> </w:t>
      </w:r>
      <w:r>
        <w:t xml:space="preserve">authors often omit the argument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w:r>
        <w:t xml:space="preserve">writing simply</w:t>
      </w:r>
      <w:r>
        <w:t xml:space="preserve"> </w:t>
      </w:r>
      <m:oMath>
        <m:sSub>
          <m:e>
            <m:r>
              <m:rPr>
                <m:sty m:val="b"/>
              </m:rPr>
              <m:t>1</m:t>
            </m:r>
          </m:e>
          <m:sub>
            <m:r>
              <m:t>A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</m:oMath>
      <w:r>
        <w:t xml:space="preserve">, or</w:t>
      </w:r>
      <w:r>
        <w:t xml:space="preserve"> </w:t>
      </w:r>
      <m:oMath>
        <m:sSub>
          <m:e>
            <m:r>
              <m:t>I</m:t>
            </m:r>
          </m:e>
          <m:sub>
            <m:r>
              <m:t>A</m:t>
            </m:r>
          </m:sub>
        </m:sSub>
      </m:oMath>
      <w:r>
        <w:t xml:space="preserve">.</w:t>
      </w:r>
    </w:p>
    <w:bookmarkEnd w:id="22"/>
    <w:bookmarkStart w:id="23" w:name="predicate-notation"/>
    <w:p>
      <w:pPr>
        <w:pStyle w:val="Heading3"/>
      </w:pPr>
      <w:r>
        <w:t xml:space="preserve">4.1.2 Predicate notation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/>
          <w:bCs/>
        </w:rPr>
        <w:t xml:space="preserve">predicate notation</w:t>
      </w:r>
      <w:r>
        <w:t xml:space="preserve">,</w:t>
      </w:r>
      <w:r>
        <w:t xml:space="preserve"> </w:t>
      </w:r>
      <w:r>
        <w:t xml:space="preserve">the indicator takes a logical condition,</w:t>
      </w:r>
      <w:r>
        <w:t xml:space="preserve"> </w:t>
      </w:r>
      <w:r>
        <w:t xml:space="preserve">relation,</w:t>
      </w:r>
      <w:r>
        <w:t xml:space="preserve"> </w:t>
      </w:r>
      <w:r>
        <w:t xml:space="preserve">or proposition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directly as its argument or subscript:</w:t>
      </w:r>
    </w:p>
    <w:p>
      <w:pPr>
        <w:pStyle w:val="Compact"/>
        <w:numPr>
          <w:ilvl w:val="0"/>
          <w:numId w:val="1006"/>
        </w:numPr>
      </w:pPr>
      <m:oMath>
        <m:r>
          <m:rPr>
            <m:scr m:val="double-struck"/>
            <m:sty m:val="p"/>
          </m:rP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cr m:val="double-struck"/>
            <m:sty m:val="p"/>
          </m:rPr>
          <m:t>I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6"/>
        </w:numPr>
      </w:pPr>
      <m:oMath>
        <m:r>
          <m:rPr>
            <m:sty m:val="b"/>
          </m:rPr>
          <m:t>1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ty m:val="b"/>
          </m:rPr>
          <m:t>1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6"/>
        </w:numPr>
      </w:pPr>
      <m:oMath>
        <m:r>
          <m:rPr>
            <m:scr m:val="double-struck"/>
            <m:sty m:val="p"/>
          </m:rPr>
          <m:t>1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</m:oMath>
    </w:p>
    <w:p>
      <w:pPr>
        <w:pStyle w:val="Compact"/>
        <w:numPr>
          <w:ilvl w:val="0"/>
          <w:numId w:val="1006"/>
        </w:numPr>
      </w:pPr>
      <m:oMath>
        <m:r>
          <m:rPr>
            <m:scr m:val="double-struck"/>
            <m:sty m:val="p"/>
          </m:rPr>
          <m:t>1</m:t>
        </m:r>
        <m:r>
          <m:rPr>
            <m:sty m:val="p"/>
          </m:rPr>
          <m:t>{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}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rPr>
            <m:sty m:val="p"/>
          </m:rPr>
          <m:t>{</m:t>
        </m:r>
        <m:r>
          <m:t>P</m:t>
        </m:r>
        <m:r>
          <m:rPr>
            <m:sty m:val="p"/>
          </m:rPr>
          <m:t>}</m:t>
        </m:r>
      </m:oMath>
    </w:p>
    <w:p>
      <w:pPr>
        <w:pStyle w:val="Compact"/>
        <w:numPr>
          <w:ilvl w:val="0"/>
          <w:numId w:val="1006"/>
        </w:numPr>
      </w:pPr>
      <m:oMath>
        <m:r>
          <m:t>I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</m:oMath>
    </w:p>
    <w:p>
      <w:pPr>
        <w:pStyle w:val="FirstParagraph"/>
      </w:pPr>
      <w:r>
        <w:t xml:space="preserve">Predicate notation is especially common in applied statistics and survival analysis,</w:t>
      </w:r>
      <w:r>
        <w:t xml:space="preserve"> </w:t>
      </w:r>
      <w:r>
        <w:t xml:space="preserve">where indicators frequently depend on inequalities involving random variables,</w:t>
      </w:r>
      <w:r>
        <w:t xml:space="preserve"> </w:t>
      </w:r>
      <w:r>
        <w:t xml:space="preserve">such as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T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≤</m:t>
            </m:r>
            <m:r>
              <m:t>t</m:t>
            </m:r>
          </m:e>
        </m:d>
        <m:r>
          <m:t>​</m:t>
        </m:r>
      </m:oMath>
      <w:r>
        <w:t xml:space="preserve"> </w:t>
      </w:r>
      <w:r>
        <w:t xml:space="preserve">(an event occurring before time</w:t>
      </w:r>
      <w:r>
        <w:t xml:space="preserve"> </w:t>
      </w:r>
      <m:oMath>
        <m:r>
          <m:t>t</m:t>
        </m:r>
      </m:oMath>
      <w:r>
        <w:t xml:space="preserve">)</w:t>
      </w:r>
      <w:r>
        <w:t xml:space="preserve"> </w:t>
      </w:r>
      <w:r>
        <w:t xml:space="preserve">or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sSub>
              <m:e>
                <m:r>
                  <m:t>Y</m:t>
                </m:r>
              </m:e>
              <m:sub>
                <m:r>
                  <m:t>i</m:t>
                </m:r>
              </m:sub>
            </m:sSub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</m:oMath>
      <w:r>
        <w:t xml:space="preserve"> </w:t>
      </w:r>
      <w:r>
        <w:t xml:space="preserve">(a binary outcome).</w:t>
      </w:r>
    </w:p>
    <w:bookmarkEnd w:id="23"/>
    <w:bookmarkStart w:id="24" w:name="equivalence-between-paradigms"/>
    <w:p>
      <w:pPr>
        <w:pStyle w:val="Heading3"/>
      </w:pPr>
      <w:r>
        <w:t xml:space="preserve">4.1.3 Equivalence between paradigms</w:t>
      </w:r>
    </w:p>
    <w:p>
      <w:pPr>
        <w:pStyle w:val="FirstParagraph"/>
      </w:pPr>
      <w:r>
        <w:t xml:space="preserve">The two paradigms are connected by evaluating the predicate indicator</w:t>
      </w:r>
      <w:r>
        <w:t xml:space="preserve"> </w:t>
      </w:r>
      <w:r>
        <w:t xml:space="preserve">at the membership statement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rPr>
                  <m:sty m:val="b"/>
                </m:rPr>
                <m:t>1</m:t>
              </m:r>
            </m:e>
            <m:sub>
              <m:r>
                <m:t>A</m:t>
              </m:r>
            </m:sub>
          </m:sSub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cr m:val="double-struck"/>
              <m:sty m:val="p"/>
            </m:rPr>
            <m:t>I</m:t>
          </m:r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∈</m:t>
          </m:r>
          <m:r>
            <m:t>A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Set notation is more natural when the underlying set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a standard name</w:t>
      </w:r>
      <w:r>
        <w:t xml:space="preserve"> </w:t>
      </w:r>
      <w:r>
        <w:t xml:space="preserve">(such as the support of a distribution or a geometric region).</w:t>
      </w:r>
      <w:r>
        <w:t xml:space="preserve"> </w:t>
      </w:r>
      <w:r>
        <w:t xml:space="preserve">Predicate notation is more natural when the condition involves compound inequalities,</w:t>
      </w:r>
      <w:r>
        <w:t xml:space="preserve"> </w:t>
      </w:r>
      <w:r>
        <w:t xml:space="preserve">such as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0</m:t>
            </m:r>
            <m:r>
              <m:rPr>
                <m:sty m:val="p"/>
              </m:rPr>
              <m:t>≤</m:t>
            </m:r>
            <m:r>
              <m:t>t</m:t>
            </m:r>
            <m:r>
              <m:rPr>
                <m:sty m:val="p"/>
              </m:rPr>
              <m:t>≤</m:t>
            </m:r>
            <m:r>
              <m:t>u</m:t>
            </m:r>
          </m:e>
        </m:d>
        <m:r>
          <m:t>​</m:t>
        </m:r>
      </m:oMath>
      <w:r>
        <w:t xml:space="preserve">.</w:t>
      </w:r>
    </w:p>
    <w:bookmarkEnd w:id="24"/>
    <w:bookmarkEnd w:id="25"/>
    <w:bookmarkStart w:id="28" w:name="iverson-bracket-notation"/>
    <w:p>
      <w:pPr>
        <w:pStyle w:val="Heading2"/>
      </w:pPr>
      <w:r>
        <w:t xml:space="preserve">4.2 Iverson bracket notation</w:t>
      </w:r>
    </w:p>
    <w:p>
      <w:pPr>
        <w:pStyle w:val="FirstParagraph"/>
      </w:pPr>
      <w:r>
        <w:t xml:space="preserve">In 1962,</w:t>
      </w:r>
      <w:r>
        <w:t xml:space="preserve"> </w:t>
      </w:r>
      <w:r>
        <w:t xml:space="preserve">Kenneth Iverson introduced a compact notation in the programming language APL,</w:t>
      </w:r>
      <w:r>
        <w:t xml:space="preserve"> </w:t>
      </w:r>
      <w:r>
        <w:t xml:space="preserve">later popularized in mathematics and computer science by Donald Knuth:</w:t>
      </w:r>
      <w:r>
        <w:t xml:space="preserve"> </w:t>
      </w:r>
      <w:r>
        <w:t xml:space="preserve">the</w:t>
      </w:r>
      <w:r>
        <w:t xml:space="preserve"> </w:t>
      </w:r>
      <w:hyperlink r:id="rId26">
        <w:r>
          <w:rPr>
            <w:rStyle w:val="Hyperlink"/>
          </w:rPr>
          <w:t xml:space="preserve">Iverson bracket</w:t>
        </w:r>
      </w:hyperlink>
      <w:r>
        <w:t xml:space="preserve">.</w:t>
      </w:r>
    </w:p>
    <w:p>
      <w:pPr>
        <w:pStyle w:val="BodyText"/>
      </w:pPr>
      <w:r>
        <w:t xml:space="preserve">The Iverson bracket encloses any mathematical predicate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inside square brackets: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[</m:t>
          </m:r>
          <m:r>
            <m:t>P</m:t>
          </m:r>
          <m:r>
            <m:rPr>
              <m:sty m:val="p"/>
            </m:rPr>
            <m:t>]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d>
            <m:dPr>
              <m:begChr m:val="{"/>
              <m:sepChr m:val=""/>
              <m:endChr m:val=""/>
              <m:grow/>
            </m:dPr>
            <m:e>
              <m:m>
                <m:mPr>
                  <m:baseJc m:val="center"/>
                  <m:plcHide m:val="on"/>
                  <m:mcs>
                    <m:mc>
                      <m:mcPr>
                        <m:mcJc m:val="left"/>
                        <m:count m:val="1"/>
                      </m:mcPr>
                    </m:mc>
                    <m:mc>
                      <m:mcPr>
                        <m:mcJc m:val="left"/>
                        <m:count m:val="1"/>
                      </m:mcPr>
                    </m:mc>
                  </m:mcs>
                </m:mPr>
                <m:mr>
                  <m:e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P</m:t>
                    </m:r>
                    <m:r>
                      <m:rPr>
                        <m:nor/>
                        <m:sty m:val="p"/>
                      </m:rPr>
                      <m:t> is true</m:t>
                    </m:r>
                  </m:e>
                </m:mr>
                <m:mr>
                  <m:e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nor/>
                        <m:sty m:val="p"/>
                      </m:rPr>
                      <m:t>if </m:t>
                    </m:r>
                    <m:r>
                      <m:t>P</m:t>
                    </m:r>
                    <m:r>
                      <m:rPr>
                        <m:nor/>
                        <m:sty m:val="p"/>
                      </m:rPr>
                      <m:t> is false</m:t>
                    </m:r>
                  </m:e>
                </m:mr>
              </m:m>
            </m:e>
          </m:d>
        </m:oMath>
      </m:oMathPara>
    </w:p>
    <w:p>
      <w:pPr>
        <w:pStyle w:val="FirstParagraph"/>
      </w:pPr>
      <w:r>
        <w:t xml:space="preserve">Under this notation,</w:t>
      </w:r>
      <w:r>
        <w:t xml:space="preserve"> </w:t>
      </w:r>
      <w:r>
        <w:t xml:space="preserve">set membership is written</w:t>
      </w:r>
      <w:r>
        <w:t xml:space="preserve"> </w:t>
      </w:r>
      <m:oMath>
        <m:r>
          <m:rPr>
            <m:sty m:val="p"/>
          </m:rPr>
          <m:t>[</m:t>
        </m:r>
        <m:r>
          <m:t>x</m:t>
        </m:r>
        <m:r>
          <m:rPr>
            <m:sty m:val="p"/>
          </m:rPr>
          <m:t>∈</m:t>
        </m:r>
        <m:r>
          <m:t>A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 the Kronecker delta is simply</w:t>
      </w:r>
      <w:r>
        <w:t xml:space="preserve"> </w:t>
      </w:r>
      <m:oMath>
        <m:sSub>
          <m:e>
            <m:r>
              <m:t>δ</m:t>
            </m:r>
          </m:e>
          <m:sub>
            <m:r>
              <m:t>i</m:t>
            </m:r>
            <m:r>
              <m:t>j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[</m:t>
        </m:r>
        <m:r>
          <m:t>i</m:t>
        </m:r>
        <m:r>
          <m:rPr>
            <m:sty m:val="p"/>
          </m:rPr>
          <m:t>=</m:t>
        </m:r>
        <m:r>
          <m:t>j</m:t>
        </m:r>
        <m:r>
          <m:rPr>
            <m:sty m:val="p"/>
          </m:rPr>
          <m:t>]</m:t>
        </m:r>
      </m:oMath>
      <w:r>
        <w:t xml:space="preserve">.</w:t>
      </w:r>
    </w:p>
    <w:bookmarkStart w:id="27" w:name="Xd6f58182005cccf55080a628cd9152d2b1165ed"/>
    <w:p>
      <w:pPr>
        <w:pStyle w:val="Heading3"/>
      </w:pPr>
      <w:r>
        <w:t xml:space="preserve">4.2.1 Strengths and limitations of the Iverson bracket</w:t>
      </w:r>
    </w:p>
    <w:p>
      <w:pPr>
        <w:pStyle w:val="FirstParagraph"/>
      </w:pPr>
      <w:r>
        <w:t xml:space="preserve">The primary advantage of the Iverson bracket is algebraic conciseness:</w:t>
      </w:r>
      <w:r>
        <w:t xml:space="preserve"> </w:t>
      </w:r>
      <w:r>
        <w:t xml:space="preserve">it converts domain restrictions in sums and integrals into unrestricted operations.</w:t>
      </w:r>
      <w:r>
        <w:t xml:space="preserve"> </w:t>
      </w:r>
      <w:r>
        <w:t xml:space="preserve">For example:</w:t>
      </w:r>
    </w:p>
    <w:p>
      <w:pPr>
        <w:pStyle w:val="BodyText"/>
      </w:pPr>
      <m:oMathPara>
        <m:oMathParaPr>
          <m:jc m:val="center"/>
        </m:oMathParaPr>
        <m:oMath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  <m:r>
                <m:rPr>
                  <m:sty m:val="p"/>
                </m:rPr>
                <m:t>∈</m:t>
              </m:r>
              <m:r>
                <m:t>A</m:t>
              </m:r>
            </m:sub>
            <m:sup>
              <m:r>
                <m:t>​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nary>
            <m:naryPr>
              <m:chr m:val="∑"/>
              <m:limLoc m:val="undOvr"/>
              <m:subHide m:val="off"/>
              <m:supHide m:val="on"/>
            </m:naryPr>
            <m:sub>
              <m:r>
                <m:t>x</m:t>
              </m:r>
            </m:sub>
            <m:sup>
              <m:r>
                <m:t>​</m:t>
              </m:r>
            </m:sup>
            <m:e>
              <m:r>
                <m:t>f</m:t>
              </m:r>
            </m:e>
          </m:nary>
          <m:r>
            <m:rPr>
              <m:sty m:val="p"/>
            </m:rPr>
            <m:t>(</m:t>
          </m:r>
          <m:r>
            <m:t>x</m:t>
          </m:r>
          <m:r>
            <m:rPr>
              <m:sty m:val="p"/>
            </m:rPr>
            <m:t>)</m:t>
          </m:r>
          <m:r>
            <m:rPr>
              <m:sty m:val="p"/>
            </m:rPr>
            <m:t>[</m:t>
          </m:r>
          <m:r>
            <m:t>x</m:t>
          </m:r>
          <m:r>
            <m:rPr>
              <m:sty m:val="p"/>
            </m:rPr>
            <m:t>∈</m:t>
          </m:r>
          <m:r>
            <m:t>A</m:t>
          </m:r>
          <m:r>
            <m:rPr>
              <m:sty m:val="p"/>
            </m:rPr>
            <m:t>]</m:t>
          </m:r>
        </m:oMath>
      </m:oMathPara>
    </w:p>
    <w:p>
      <w:pPr>
        <w:pStyle w:val="FirstParagraph"/>
      </w:pPr>
      <w:r>
        <w:t xml:space="preserve">However,</w:t>
      </w:r>
      <w:r>
        <w:t xml:space="preserve"> </w:t>
      </w:r>
      <w:r>
        <w:t xml:space="preserve">in statistics and epidemiology,</w:t>
      </w:r>
      <w:r>
        <w:t xml:space="preserve"> </w:t>
      </w:r>
      <w:r>
        <w:t xml:space="preserve">square brackets are already heavily overloaded:</w:t>
      </w:r>
      <w:r>
        <w:t xml:space="preserve"> </w:t>
      </w:r>
      <w:r>
        <w:t xml:space="preserve">they denote closed intervals</w:t>
      </w:r>
      <w:r>
        <w:t xml:space="preserve"> </w:t>
      </w:r>
      <m:oMath>
        <m:r>
          <m:rPr>
            <m:sty m:val="p"/>
          </m:rPr>
          <m:t>[</m:t>
        </m:r>
        <m:r>
          <m:t>a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conditional expectations</w:t>
      </w:r>
      <w:r>
        <w:t xml:space="preserve"> </w:t>
      </w:r>
      <m:oMath>
        <m:r>
          <m:rPr>
            <m:sty m:val="p"/>
          </m:rPr>
          <m:t>E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∣</m:t>
        </m:r>
        <m:r>
          <m:t>X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and matrix delimiters.</w:t>
      </w:r>
      <w:r>
        <w:t xml:space="preserve"> </w:t>
      </w:r>
      <w:r>
        <w:t xml:space="preserve">To prevent visual confusion with expectation brackets or intervals,</w:t>
      </w:r>
      <w:r>
        <w:t xml:space="preserve"> </w:t>
      </w:r>
      <w:r>
        <w:t xml:space="preserve">statistical literature predominantly uses</w:t>
      </w:r>
      <w:r>
        <w:t xml:space="preserve"> </w:t>
      </w:r>
      <m:oMath>
        <m:r>
          <m:rPr>
            <m:scr m:val="double-struck"/>
            <m:sty m:val="p"/>
          </m:rP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rather than the bare Iverson bracket.</w:t>
      </w:r>
    </w:p>
    <w:bookmarkEnd w:id="27"/>
    <w:bookmarkEnd w:id="28"/>
    <w:bookmarkStart w:id="30" w:name="summary-of-indicator-notations"/>
    <w:p>
      <w:pPr>
        <w:pStyle w:val="Heading2"/>
      </w:pPr>
      <w:r>
        <w:t xml:space="preserve">4.3 Summary of indicator notations</w:t>
      </w:r>
    </w:p>
    <w:p>
      <w:pPr>
        <w:pStyle w:val="FirstParagraph"/>
      </w:pPr>
      <w:hyperlink w:anchor="tbl-indicator-notations">
        <w:r>
          <w:rPr>
            <w:rStyle w:val="Hyperlink"/>
          </w:rPr>
          <w:t xml:space="preserve">Table 3</w:t>
        </w:r>
      </w:hyperlink>
      <w:r>
        <w:t xml:space="preserve"> </w:t>
      </w:r>
      <w:r>
        <w:t xml:space="preserve">compares the major notations encountered across the literature.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9" w:name="tbl-indicator-notation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3: Notations for indicator functions across mathematical and statistical literature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1564"/>
              <w:gridCol w:w="1564"/>
              <w:gridCol w:w="1564"/>
              <w:gridCol w:w="3226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Notation style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Typical syntax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Primary fields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Notes and potential ambiguities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b/>
                      <w:bCs/>
                    </w:rPr>
                    <w:t xml:space="preserve">Blackboard bold 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sSub>
                      <m:e>
                        <m:r>
                          <m:rPr>
                            <m:scr m:val="double-struck"/>
                            <m:sty m:val="p"/>
                          </m:rPr>
                          <m:t>1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rPr>
                        <m:scr m:val="double-struck"/>
                        <m:sty m:val="p"/>
                      </m:rPr>
                      <m:t>1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Modern probability, mathematical statistics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Unambiguous; distinct from matrices and scalars; standard in this book.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b/>
                      <w:bCs/>
                    </w:rPr>
                    <w:t xml:space="preserve">Bold numeral 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sSub>
                      <m:e>
                        <m:r>
                          <m:rPr>
                            <m:sty m:val="b"/>
                          </m:rPr>
                          <m:t>1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rPr>
                        <m:sty m:val="b"/>
                      </m:rPr>
                      <m:t>1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Probability theory, measure theory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Can be confused with a vector of ones</w:t>
                  </w:r>
                  <w:r>
                    <w:t xml:space="preserve"> </w:t>
                  </w:r>
                  <m:oMath>
                    <m:r>
                      <m:rPr>
                        <m:sty m:val="b"/>
                      </m:rPr>
                      <m:t>1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rPr>
                        <m:sty m:val="p"/>
                      </m:rPr>
                      <m:t>…</m:t>
                    </m:r>
                    <m:r>
                      <m:rPr>
                        <m:sty m:val="p"/>
                      </m:rPr>
                      <m:t>,</m:t>
                    </m:r>
                    <m:r>
                      <m:t>1</m:t>
                    </m:r>
                    <m:sSup>
                      <m:e>
                        <m:r>
                          <m:rPr>
                            <m:sty m:val="p"/>
                          </m:rPr>
                          <m:t>)</m:t>
                        </m:r>
                      </m:e>
                      <m:sup>
                        <m:r>
                          <m:rPr>
                            <m:sty m:val="p"/>
                          </m:rPr>
                          <m:t>⊤</m:t>
                        </m:r>
                      </m:sup>
                    </m:sSup>
                  </m:oMath>
                  <w:r>
                    <w:t xml:space="preserve">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b/>
                      <w:bCs/>
                    </w:rPr>
                    <w:t xml:space="preserve">Blackboard bold I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r>
                      <m:rPr>
                        <m:scr m:val="double-struck"/>
                        <m:sty m:val="p"/>
                      </m:rPr>
                      <m:t>I</m:t>
                    </m:r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∈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rPr>
                        <m:scr m:val="double-struck"/>
                        <m:sty m:val="p"/>
                      </m:rPr>
                      <m:t>I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Econometrics, machine learning, statistics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Clear predicate notation; avoids confusion with numerals.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b/>
                      <w:bCs/>
                    </w:rPr>
                    <w:t xml:space="preserve">Letter</w:t>
                  </w:r>
                  <w:r>
                    <w:rPr>
                      <w:b/>
                      <w:bCs/>
                    </w:rPr>
                    <w:t xml:space="preserve"> </w:t>
                  </w:r>
                  <m:oMath>
                    <m:r>
                      <m:t>I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sSub>
                      <m:e>
                        <m:r>
                          <m:t>I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t>I</m:t>
                    </m:r>
                    <m:r>
                      <m:rPr>
                        <m:sty m:val="p"/>
                      </m:rPr>
                      <m:t>(</m:t>
                    </m:r>
                    <m:r>
                      <m:t>P</m:t>
                    </m:r>
                    <m:r>
                      <m:rPr>
                        <m:sty m:val="p"/>
                      </m:rPr>
                      <m:t>)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Classical statistics, epidemiology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Can be confused with the identity matrix</w:t>
                  </w:r>
                  <w:r>
                    <w:t xml:space="preserve"> </w:t>
                  </w:r>
                  <m:oMath>
                    <m:r>
                      <m:t>I</m:t>
                    </m:r>
                  </m:oMath>
                  <w:r>
                    <w:t xml:space="preserve"> </w:t>
                  </w:r>
                  <w:r>
                    <w:t xml:space="preserve">or Fisher information</w:t>
                  </w:r>
                  <w:r>
                    <w:t xml:space="preserve"> </w:t>
                  </w:r>
                  <m:oMath>
                    <m:r>
                      <m:rPr>
                        <m:scr m:val="script"/>
                        <m:sty m:val="p"/>
                      </m:rPr>
                      <m:t>I</m:t>
                    </m:r>
                  </m:oMath>
                  <w:r>
                    <w:t xml:space="preserve">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b/>
                      <w:bCs/>
                    </w:rPr>
                    <w:t xml:space="preserve">Iverson bracket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r>
                      <m:rPr>
                        <m:sty m:val="p"/>
                      </m:rPr>
                      <m:t>[</m:t>
                    </m:r>
                    <m:r>
                      <m:t>P</m:t>
                    </m:r>
                    <m:r>
                      <m:rPr>
                        <m:sty m:val="p"/>
                      </m:rPr>
                      <m:t>]</m:t>
                    </m:r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[</m:t>
                    </m:r>
                    <m:r>
                      <m:t>x</m:t>
                    </m:r>
                    <m:r>
                      <m:rPr>
                        <m:sty m:val="p"/>
                      </m:rPr>
                      <m:t>∈</m:t>
                    </m:r>
                    <m:r>
                      <m:t>A</m:t>
                    </m:r>
                    <m:r>
                      <m:rPr>
                        <m:sty m:val="p"/>
                      </m:rPr>
                      <m:t>]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Computer science, discrete mathematics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Very compact, but square brackets collide with intervals and expectation brackets.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rPr>
                      <w:b/>
                      <w:bCs/>
                    </w:rPr>
                    <w:t xml:space="preserve">Greek letter</w:t>
                  </w:r>
                  <w:r>
                    <w:rPr>
                      <w:b/>
                      <w:bCs/>
                    </w:rPr>
                    <w:t xml:space="preserve"> </w:t>
                  </w:r>
                  <m:oMath>
                    <m:r>
                      <m:t>χ</m:t>
                    </m:r>
                  </m:oMath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m:oMath>
                    <m:sSub>
                      <m:e>
                        <m:r>
                          <m:t>χ</m:t>
                        </m:r>
                      </m:e>
                      <m:sub>
                        <m:r>
                          <m:t>A</m:t>
                        </m:r>
                      </m:sub>
                    </m:sSub>
                    <m:r>
                      <m:rPr>
                        <m:sty m:val="p"/>
                      </m:rPr>
                      <m:t>(</m:t>
                    </m:r>
                    <m:r>
                      <m:t>x</m:t>
                    </m:r>
                    <m:r>
                      <m:rPr>
                        <m:sty m:val="p"/>
                      </m:rPr>
                      <m:t>)</m:t>
                    </m:r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Real analysis, measure theory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Often termed</w:t>
                  </w:r>
                  <w:r>
                    <w:t xml:space="preserve"> </w:t>
                  </w:r>
                  <w:r>
                    <w:t xml:space="preserve">“characteristic function”</w:t>
                  </w:r>
                  <w:r>
                    <w:t xml:space="preserve">; collides with the Fourier transform in probability.</w:t>
                  </w:r>
                </w:p>
              </w:tc>
            </w:tr>
          </w:tbl>
          <w:bookmarkEnd w:id="29"/>
          <w:p/>
        </w:tc>
      </w:tr>
    </w:tbl>
    <w:bookmarkEnd w:id="30"/>
    <w:bookmarkStart w:id="31" w:name="conventions-in-this-book"/>
    <w:p>
      <w:pPr>
        <w:pStyle w:val="Heading2"/>
      </w:pPr>
      <w:r>
        <w:t xml:space="preserve">4.4 Conventions in this book</w:t>
      </w:r>
    </w:p>
    <w:p>
      <w:pPr>
        <w:pStyle w:val="FirstParagraph"/>
      </w:pPr>
      <w:r>
        <w:t xml:space="preserve">In these notes,</w:t>
      </w:r>
      <w:r>
        <w:t xml:space="preserve"> </w:t>
      </w:r>
      <w:r>
        <w:t xml:space="preserve">we standardize on blackboard bold</w:t>
      </w:r>
      <w:r>
        <w:t xml:space="preserve"> </w:t>
      </w:r>
      <m:oMath>
        <m:r>
          <m:rPr>
            <m:scr m:val="double-struck"/>
            <m:sty m:val="p"/>
          </m:rPr>
          <m:t>1</m:t>
        </m:r>
      </m:oMath>
      <w:r>
        <w:t xml:space="preserve"> </w:t>
      </w:r>
      <w:r>
        <w:t xml:space="preserve">via the macros defined in</w:t>
      </w:r>
      <w:r>
        <w:t xml:space="preserve"> </w:t>
      </w:r>
      <w:r>
        <w:rPr>
          <w:rStyle w:val="VerbatimChar"/>
        </w:rPr>
        <w:t xml:space="preserve">latex-macros/macros.qmd</w:t>
      </w:r>
      <w:r>
        <w:t xml:space="preserve">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\indic{A}</w:t>
      </w:r>
      <w:r>
        <w:t xml:space="preserve"> </w:t>
      </w:r>
      <w:r>
        <w:t xml:space="preserve">produces</w:t>
      </w:r>
      <w:r>
        <w:t xml:space="preserve"> </w:t>
      </w:r>
      <m:oMath>
        <m:sSub>
          <m:e>
            <m:r>
              <m:rPr>
                <m:scr m:val="double-struck"/>
                <m:sty m:val="p"/>
              </m:rPr>
              <m:t>1</m:t>
            </m:r>
          </m:e>
          <m:sub>
            <m:r>
              <m:t>A</m:t>
            </m:r>
          </m:sub>
        </m:sSub>
      </m:oMath>
      <w:r>
        <w:t xml:space="preserve"> </w:t>
      </w:r>
      <w:r>
        <w:t xml:space="preserve">(set subscript)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\indicp{P}</w:t>
      </w:r>
      <w:r>
        <w:t xml:space="preserve"> </w:t>
      </w:r>
      <w:r>
        <w:t xml:space="preserve">produces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P</m:t>
            </m:r>
          </m:e>
        </m:d>
        <m:r>
          <m:t>​</m:t>
        </m:r>
      </m:oMath>
      <w:r>
        <w:t xml:space="preserve"> </w:t>
      </w:r>
      <w:r>
        <w:t xml:space="preserve">(predicate in parentheses)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\indiccb{P}</w:t>
      </w:r>
      <w:r>
        <w:t xml:space="preserve"> </w:t>
      </w:r>
      <w:r>
        <w:t xml:space="preserve">produces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P</m:t>
            </m:r>
          </m:e>
        </m:d>
        <m:r>
          <m:t>​</m:t>
        </m:r>
      </m:oMath>
      <w:r>
        <w:t xml:space="preserve"> </w:t>
      </w:r>
      <w:r>
        <w:t xml:space="preserve">(predicate in curly braces)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\1{P}</w:t>
      </w:r>
      <w:r>
        <w:t xml:space="preserve"> </w:t>
      </w:r>
      <w:r>
        <w:t xml:space="preserve">produces</w:t>
      </w:r>
      <w:r>
        <w:t xml:space="preserve"> </w:t>
      </w:r>
      <m:oMath>
        <m:sSub>
          <m:e>
            <m:r>
              <m:rPr>
                <m:nor/>
                <m:sty m:val="p"/>
              </m:rPr>
              <m:t>1</m:t>
            </m:r>
          </m:e>
          <m:sub>
            <m:r>
              <m:t>P</m:t>
            </m:r>
          </m:sub>
        </m:sSub>
      </m:oMath>
      <w:r>
        <w:t xml:space="preserve"> </w:t>
      </w:r>
      <w:r>
        <w:t xml:space="preserve">(text numeral with subscript, used in legacy formulas)</w:t>
      </w:r>
    </w:p>
    <w:p>
      <w:pPr>
        <w:pStyle w:val="FirstParagraph"/>
      </w:pPr>
      <w:r>
        <w:t xml:space="preserve">Blackboard bold</w:t>
      </w:r>
      <w:r>
        <w:t xml:space="preserve"> </w:t>
      </w:r>
      <m:oMath>
        <m:r>
          <m:rPr>
            <m:scr m:val="double-struck"/>
            <m:sty m:val="p"/>
          </m:rPr>
          <m:t>1</m:t>
        </m:r>
      </m:oMath>
      <w:r>
        <w:t xml:space="preserve"> </w:t>
      </w:r>
      <w:r>
        <w:t xml:space="preserve">is preferred because it avoids all common collisions:</w:t>
      </w:r>
      <w:r>
        <w:t xml:space="preserve"> </w:t>
      </w:r>
      <w:r>
        <w:t xml:space="preserve">it is visually distinct from the scalar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w:r>
        <w:t xml:space="preserve">the identity matrix</w:t>
      </w:r>
      <w:r>
        <w:t xml:space="preserve"> </w:t>
      </w:r>
      <m:oMath>
        <m:r>
          <m:t>I</m:t>
        </m:r>
      </m:oMath>
      <w:r>
        <w:t xml:space="preserve">,</w:t>
      </w:r>
      <w:r>
        <w:t xml:space="preserve"> </w:t>
      </w:r>
      <w:r>
        <w:t xml:space="preserve">and the information matrices (</w:t>
      </w:r>
      <m:oMath>
        <m:r>
          <m:t>I</m:t>
        </m:r>
      </m:oMath>
      <w:r>
        <w:t xml:space="preserve">,</w:t>
      </w:r>
      <w:r>
        <w:t xml:space="preserve"> </w:t>
      </w:r>
      <m:oMath>
        <m:r>
          <m:rPr>
            <m:scr m:val="script"/>
            <m:sty m:val="p"/>
          </m:rPr>
          <m:t>I</m:t>
        </m:r>
      </m:oMath>
      <w:r>
        <w:t xml:space="preserve">).</w:t>
      </w:r>
    </w:p>
    <w:bookmarkEnd w:id="31"/>
    <w:bookmarkStart w:id="32" w:name="key-algebraic-properties"/>
    <w:p>
      <w:pPr>
        <w:pStyle w:val="Heading2"/>
      </w:pPr>
      <w:r>
        <w:t xml:space="preserve">4.5 Key algebraic properties</w:t>
      </w:r>
    </w:p>
    <w:p>
      <w:pPr>
        <w:pStyle w:val="FirstParagraph"/>
      </w:pPr>
      <w:r>
        <w:t xml:space="preserve">Indicator functions translate logical operations on events into ordinary arithmetic on real numbers:</w:t>
      </w:r>
    </w:p>
    <w:p>
      <w:pPr>
        <w:numPr>
          <w:ilvl w:val="0"/>
          <w:numId w:val="1008"/>
        </w:numPr>
      </w:pPr>
      <w:r>
        <w:rPr>
          <w:b/>
          <w:bCs/>
        </w:rPr>
        <w:t xml:space="preserve">Intersection (</w:t>
      </w:r>
      <w:r>
        <w:rPr>
          <w:b/>
          <w:bCs/>
        </w:rPr>
        <w:t xml:space="preserve">“and”</w:t>
      </w:r>
      <w:r>
        <w:rPr>
          <w:b/>
          <w:bCs/>
        </w:rPr>
        <w:t xml:space="preserve">):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</m:e>
        </m:d>
        <m:r>
          <m:t>​</m:t>
        </m:r>
        <m:r>
          <m:rPr>
            <m:sty m:val="p"/>
          </m:rPr>
          <m:t>⋅</m:t>
        </m:r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B</m:t>
            </m:r>
          </m:e>
        </m:d>
        <m:r>
          <m:t>​</m:t>
        </m:r>
      </m:oMath>
    </w:p>
    <w:p>
      <w:pPr>
        <w:numPr>
          <w:ilvl w:val="0"/>
          <w:numId w:val="1008"/>
        </w:numPr>
      </w:pPr>
      <w:r>
        <w:rPr>
          <w:b/>
          <w:bCs/>
        </w:rPr>
        <w:t xml:space="preserve">Union (</w:t>
      </w:r>
      <w:r>
        <w:rPr>
          <w:b/>
          <w:bCs/>
        </w:rPr>
        <w:t xml:space="preserve">“or”</w:t>
      </w:r>
      <w:r>
        <w:rPr>
          <w:b/>
          <w:bCs/>
        </w:rPr>
        <w:t xml:space="preserve">):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∪</m:t>
            </m:r>
            <m:r>
              <m:t>B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</m:e>
        </m:d>
        <m:r>
          <m:t>​</m:t>
        </m:r>
        <m:r>
          <m:rPr>
            <m:sty m:val="p"/>
          </m:rPr>
          <m:t>+</m:t>
        </m:r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B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</m:e>
        </m:d>
        <m:r>
          <m:t>​</m:t>
        </m:r>
        <m:r>
          <m:rPr>
            <m:sty m:val="p"/>
          </m:rPr>
          <m:t>⋅</m:t>
        </m:r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B</m:t>
            </m:r>
          </m:e>
        </m:d>
        <m:r>
          <m:t>​</m:t>
        </m:r>
      </m:oMath>
    </w:p>
    <w:p>
      <w:pPr>
        <w:numPr>
          <w:ilvl w:val="0"/>
          <w:numId w:val="1008"/>
        </w:numPr>
      </w:pPr>
      <w:r>
        <w:rPr>
          <w:b/>
          <w:bCs/>
        </w:rPr>
        <w:t xml:space="preserve">Complement (</w:t>
      </w:r>
      <w:r>
        <w:rPr>
          <w:b/>
          <w:bCs/>
        </w:rPr>
        <w:t xml:space="preserve">“not”</w:t>
      </w:r>
      <w:r>
        <w:rPr>
          <w:b/>
          <w:bCs/>
        </w:rPr>
        <w:t xml:space="preserve">):</w:t>
      </w:r>
      <w:r>
        <w:t xml:space="preserve"> </w:t>
      </w:r>
      <m:oMath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rPr>
                <m:sty m:val="p"/>
              </m:rPr>
              <m:t>¬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</m:e>
        </m:d>
        <m:r>
          <m:t>​</m:t>
        </m:r>
      </m:oMath>
    </w:p>
    <w:p>
      <w:pPr>
        <w:numPr>
          <w:ilvl w:val="0"/>
          <w:numId w:val="1008"/>
        </w:numPr>
      </w:pPr>
      <w:r>
        <w:rPr>
          <w:b/>
          <w:bCs/>
        </w:rPr>
        <w:t xml:space="preserve">Idempotence:</w:t>
      </w:r>
      <w:r>
        <w:t xml:space="preserve"> </w:t>
      </w:r>
      <m:oMath>
        <m:r>
          <m:rPr>
            <m:sty m:val="p"/>
          </m:rPr>
          <m:t>(</m:t>
        </m:r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</m:e>
        </m:d>
        <m:r>
          <m:t>​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rPr>
            <m:scr m:val="double-struck"/>
            <m:sty m:val="p"/>
          </m:rPr>
          <m:t>1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</m:e>
        </m:d>
        <m:r>
          <m:t>​</m:t>
        </m:r>
      </m:oMath>
    </w:p>
    <w:p>
      <w:pPr>
        <w:numPr>
          <w:ilvl w:val="0"/>
          <w:numId w:val="1008"/>
        </w:numPr>
      </w:pPr>
      <w:r>
        <w:rPr>
          <w:b/>
          <w:bCs/>
        </w:rPr>
        <w:t xml:space="preserve">Expectation gives probability:</w:t>
      </w:r>
      <w:r>
        <w:t xml:space="preserve"> </w:t>
      </w:r>
      <w:r>
        <w:t xml:space="preserve">For any event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the expectation of its indicator is the probability of the event: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rPr>
              <m:sty m:val="p"/>
            </m:rPr>
            <m:t>[</m:t>
          </m:r>
          <m:r>
            <m:rPr>
              <m:scr m:val="double-struck"/>
              <m:sty m:val="p"/>
            </m:rPr>
            <m:t>1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r>
                <m:t>A</m:t>
              </m:r>
            </m:e>
          </m:d>
          <m:r>
            <m:t>​</m:t>
          </m:r>
          <m:r>
            <m:rPr>
              <m:sty m:val="p"/>
            </m:rPr>
            <m:t>]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⋅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rPr>
              <m:sty m:val="p"/>
            </m:rPr>
            <m:t>¬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⋅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r>
            <m:rPr>
              <m:sty m:val="p"/>
            </m:rPr>
            <m:t>Pr</m:t>
          </m:r>
          <m:r>
            <m:rPr>
              <m:sty m:val="p"/>
            </m:rPr>
            <m:t>(</m:t>
          </m:r>
          <m:r>
            <m:t>A</m:t>
          </m:r>
          <m:r>
            <m:rPr>
              <m:sty m:val="p"/>
            </m:rPr>
            <m:t>)</m:t>
          </m:r>
        </m:oMath>
      </m:oMathPara>
    </w:p>
    <w:p>
      <w:pPr>
        <w:pStyle w:val="FirstParagraph"/>
      </w:pPr>
      <w:r>
        <w:t xml:space="preserve">This fundamental identity connects probability theory directly to linear expectation.</w:t>
      </w:r>
      <w:r>
        <w:t xml:space="preserve"> </w:t>
      </w:r>
      <w:r>
        <w:t xml:space="preserve">It provides the mathematical foundation for empirical proportions,</w:t>
      </w:r>
      <w:r>
        <w:t xml:space="preserve"> </w:t>
      </w:r>
      <w:r>
        <w:t xml:space="preserve">survival curve estimators,</w:t>
      </w:r>
      <w:r>
        <w:t xml:space="preserve"> </w:t>
      </w:r>
      <w:r>
        <w:t xml:space="preserve">and regression models for binary outcomes.</w:t>
      </w:r>
    </w:p>
    <w:bookmarkEnd w:id="32"/>
    <w:bookmarkEnd w:id="33"/>
    <w:bookmarkStart w:id="47" w:name="sec-stochastic-probabilistic-random"/>
    <w:p>
      <w:pPr>
        <w:pStyle w:val="Heading1"/>
      </w:pPr>
      <w:r>
        <w:t xml:space="preserve">5. Stochastic vs. probabilistic vs. random</w:t>
      </w:r>
    </w:p>
    <w:p>
      <w:pPr>
        <w:pStyle w:val="FirstParagraph"/>
      </w:pPr>
      <w:r>
        <w:t xml:space="preserve">The terms</w:t>
      </w:r>
      <w:r>
        <w:t xml:space="preserve"> </w:t>
      </w:r>
      <w:r>
        <w:t xml:space="preserve">“stochastic”</w:t>
      </w:r>
      <w:r>
        <w:t xml:space="preserve">,</w:t>
      </w:r>
      <w:r>
        <w:t xml:space="preserve"> </w:t>
      </w:r>
      <w:r>
        <w:t xml:space="preserve">“probabilistic”</w:t>
      </w:r>
      <w:r>
        <w:t xml:space="preserve">, and</w:t>
      </w:r>
      <w:r>
        <w:t xml:space="preserve"> </w:t>
      </w:r>
      <w:r>
        <w:t xml:space="preserve">“random”</w:t>
      </w:r>
      <w:r>
        <w:t xml:space="preserve"> </w:t>
      </w:r>
      <w:r>
        <w:t xml:space="preserve">are frequently used in statistics and probability theory,</w:t>
      </w:r>
      <w:r>
        <w:t xml:space="preserve"> </w:t>
      </w:r>
      <w:r>
        <w:t xml:space="preserve">often interchangeably in everyday conversation,</w:t>
      </w:r>
      <w:r>
        <w:t xml:space="preserve"> </w:t>
      </w:r>
      <w:r>
        <w:t xml:space="preserve">but they carry nuanced technical distinctions.</w:t>
      </w:r>
    </w:p>
    <w:bookmarkStart w:id="35" w:name="Xb824105725c714fb62d41c87a09d9013ca5949f"/>
    <w:p>
      <w:pPr>
        <w:pStyle w:val="Heading2"/>
      </w:pPr>
      <w:r>
        <w:t xml:space="preserve">5.1 Key distinction: modeling approach vs. phenomena</w:t>
      </w:r>
    </w:p>
    <w:p>
      <w:pPr>
        <w:pStyle w:val="FirstParagraph"/>
      </w:pPr>
      <w:r>
        <w:t xml:space="preserve">As noted in</w:t>
      </w:r>
      <w:r>
        <w:t xml:space="preserve"> </w:t>
      </w:r>
      <w:hyperlink r:id="rId34">
        <w:r>
          <w:rPr>
            <w:rStyle w:val="Hyperlink"/>
          </w:rPr>
          <w:t xml:space="preserve">Wikipedia</w:t>
        </w:r>
      </w:hyperlink>
      <w:r>
        <w:t xml:space="preserve">:</w:t>
      </w:r>
    </w:p>
    <w:p>
      <w:pPr>
        <w:pStyle w:val="BlockText"/>
      </w:pPr>
      <w:r>
        <w:rPr>
          <w:i/>
          <w:iCs/>
        </w:rPr>
        <w:t xml:space="preserve">Stochasticity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randomness</w:t>
      </w:r>
      <w:r>
        <w:t xml:space="preserve"> </w:t>
      </w:r>
      <w:r>
        <w:t xml:space="preserve">are technically distinct concepts:</w:t>
      </w:r>
      <w:r>
        <w:t xml:space="preserve"> </w:t>
      </w:r>
      <w:r>
        <w:t xml:space="preserve">the former refers to a modeling approach,</w:t>
      </w:r>
      <w:r>
        <w:t xml:space="preserve"> </w:t>
      </w:r>
      <w:r>
        <w:t xml:space="preserve">while the latter describes phenomena;</w:t>
      </w:r>
      <w:r>
        <w:t xml:space="preserve"> </w:t>
      </w:r>
      <w:r>
        <w:t xml:space="preserve">in everyday conversation these terms are often used interchangeably.</w:t>
      </w:r>
    </w:p>
    <w:bookmarkEnd w:id="35"/>
    <w:bookmarkStart w:id="40" w:name="definitions"/>
    <w:p>
      <w:pPr>
        <w:pStyle w:val="Heading2"/>
      </w:pPr>
      <w:r>
        <w:t xml:space="preserve">5.2 Definitions</w:t>
      </w:r>
    </w:p>
    <w:p>
      <w:pPr>
        <w:pStyle w:val="FirstParagraph"/>
      </w:pPr>
      <w:r>
        <w:rPr>
          <w:b/>
          <w:bCs/>
        </w:rPr>
        <w:t xml:space="preserve">Random</w:t>
      </w:r>
      <w:r>
        <w:t xml:space="preserve"> </w:t>
      </w:r>
      <w:r>
        <w:t xml:space="preserve">describes something that occurs by chance,</w:t>
      </w:r>
      <w:r>
        <w:t xml:space="preserve"> </w:t>
      </w:r>
      <w:r>
        <w:t xml:space="preserve">without a deterministic pattern.</w:t>
      </w:r>
      <w:r>
        <w:t xml:space="preserve"> </w:t>
      </w:r>
      <w:r>
        <w:t xml:space="preserve">It is the most general term,</w:t>
      </w:r>
      <w:r>
        <w:t xml:space="preserve"> </w:t>
      </w:r>
      <w:r>
        <w:t xml:space="preserve">used to describe variables or occurrences whose outcome cannot be predicted precisely,</w:t>
      </w:r>
      <w:r>
        <w:t xml:space="preserve"> </w:t>
      </w:r>
      <w:r>
        <w:t xml:space="preserve">only probabilistically.</w:t>
      </w:r>
      <w:r>
        <w:t xml:space="preserve"> </w:t>
      </w:r>
      <w:r>
        <w:t xml:space="preserve">For example,</w:t>
      </w:r>
      <w:r>
        <w:t xml:space="preserve"> </w:t>
      </w:r>
      <w:r>
        <w:t xml:space="preserve">we speak of</w:t>
      </w:r>
      <w:r>
        <w:t xml:space="preserve"> </w:t>
      </w:r>
      <w:r>
        <w:t xml:space="preserve">“random variables”</w:t>
      </w:r>
      <w:r>
        <w:t xml:space="preserve"> </w:t>
      </w:r>
      <w:r>
        <w:t xml:space="preserve">and</w:t>
      </w:r>
      <w:r>
        <w:t xml:space="preserve"> </w:t>
      </w:r>
      <w:r>
        <w:t xml:space="preserve">“random events”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term</w:t>
            </w:r>
            <w:r>
              <w:t xml:space="preserve"> </w:t>
            </w:r>
            <w:r>
              <w:t xml:space="preserve">“random”</w:t>
            </w:r>
            <w:r>
              <w:t xml:space="preserve"> </w:t>
            </w:r>
            <w:r>
              <w:t xml:space="preserve">is sometimes used as shorthand for a uniform distribution</w:t>
            </w:r>
            <w:r>
              <w:t xml:space="preserve"> </w:t>
            </w:r>
            <w:r>
              <w:t xml:space="preserve">(especially the discrete uniform distribution),</w:t>
            </w:r>
            <w:r>
              <w:t xml:space="preserve"> </w:t>
            </w:r>
            <w:r>
              <w:t xml:space="preserve">but it can refer to any probability distribution.</w:t>
            </w:r>
          </w:p>
          <w:p/>
        </w:tc>
      </w:tr>
    </w:tbl>
    <w:p>
      <w:pPr>
        <w:pStyle w:val="BodyText"/>
      </w:pPr>
      <w:r>
        <w:rPr>
          <w:b/>
          <w:bCs/>
        </w:rPr>
        <w:t xml:space="preserve">Stochastic</w:t>
      </w:r>
      <w:r>
        <w:t xml:space="preserve"> </w:t>
      </w:r>
      <w:r>
        <w:t xml:space="preserve">comes from the Greek</w:t>
      </w:r>
      <w:r>
        <w:t xml:space="preserve"> </w:t>
      </w:r>
      <w:r>
        <w:t xml:space="preserve">“στόχος”</w:t>
      </w:r>
      <w:r>
        <w:t xml:space="preserve"> </w:t>
      </w:r>
      <w:r>
        <w:t xml:space="preserve">(</w:t>
      </w:r>
      <w:r>
        <w:rPr>
          <w:i/>
          <w:iCs/>
        </w:rPr>
        <w:t xml:space="preserve">stókhos</w:t>
      </w:r>
      <w:r>
        <w:t xml:space="preserve">),</w:t>
      </w:r>
      <w:r>
        <w:t xml:space="preserve"> </w:t>
      </w:r>
      <w:r>
        <w:t xml:space="preserve">meaning</w:t>
      </w:r>
      <w:r>
        <w:t xml:space="preserve"> </w:t>
      </w:r>
      <w:r>
        <w:t xml:space="preserve">“aim”</w:t>
      </w:r>
      <w:r>
        <w:t xml:space="preserve"> </w:t>
      </w:r>
      <w:r>
        <w:t xml:space="preserve">or</w:t>
      </w:r>
      <w:r>
        <w:t xml:space="preserve"> </w:t>
      </w:r>
      <w:r>
        <w:t xml:space="preserve">“guess”</w:t>
      </w:r>
      <w:r>
        <w:t xml:space="preserve"> </w:t>
      </w:r>
      <w:r>
        <w:t xml:space="preserve">(see</w:t>
      </w:r>
      <w:r>
        <w:t xml:space="preserve"> </w:t>
      </w:r>
      <w:hyperlink r:id="rId39">
        <w:r>
          <w:rPr>
            <w:rStyle w:val="Hyperlink"/>
          </w:rPr>
          <w:t xml:space="preserve">etymology</w:t>
        </w:r>
      </w:hyperlink>
      <w:r>
        <w:t xml:space="preserve">).</w:t>
      </w:r>
      <w:r>
        <w:t xml:space="preserve"> </w:t>
      </w:r>
      <w:r>
        <w:t xml:space="preserve">In mathematics,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stochastic process</w:t>
      </w:r>
      <w:r>
        <w:t xml:space="preserve"> </w:t>
      </w:r>
      <w:r>
        <w:t xml:space="preserve">is formally defined as a collection of random variables indexed by time or space.</w:t>
      </w:r>
      <w:r>
        <w:t xml:space="preserve"> </w:t>
      </w:r>
      <w:r>
        <w:t xml:space="preserve">The term is almost always used in the context of processes or systems evolving in time or space under uncertain rules.</w:t>
      </w:r>
      <w:r>
        <w:t xml:space="preserve"> </w:t>
      </w:r>
      <w:r>
        <w:t xml:space="preserve">Note that in probability theory,</w:t>
      </w:r>
      <w:r>
        <w:t xml:space="preserve"> </w:t>
      </w:r>
      <w:r>
        <w:t xml:space="preserve">“stochastic process”</w:t>
      </w:r>
      <w:r>
        <w:t xml:space="preserve"> </w:t>
      </w:r>
      <w:r>
        <w:t xml:space="preserve">and</w:t>
      </w:r>
      <w:r>
        <w:t xml:space="preserve"> </w:t>
      </w:r>
      <w:r>
        <w:t xml:space="preserve">“random process”</w:t>
      </w:r>
      <w:r>
        <w:t xml:space="preserve"> </w:t>
      </w:r>
      <w:r>
        <w:t xml:space="preserve">are synonyms</w:t>
      </w:r>
      <w:r>
        <w:t xml:space="preserve"> </w:t>
      </w:r>
      <w:r>
        <w:t xml:space="preserve">(Adler and Taylor 2009; Stirzaker 2005; Kallenberg 2002)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Probabilistic</w:t>
      </w:r>
      <w:r>
        <w:t xml:space="preserve"> </w:t>
      </w:r>
      <w:r>
        <w:t xml:space="preserve">refers to any model,</w:t>
      </w:r>
      <w:r>
        <w:t xml:space="preserve"> </w:t>
      </w:r>
      <w:r>
        <w:t xml:space="preserve">reasoning,</w:t>
      </w:r>
      <w:r>
        <w:t xml:space="preserve"> </w:t>
      </w:r>
      <w:r>
        <w:t xml:space="preserve">or method that explicitly involves probability theory.</w:t>
      </w:r>
      <w:r>
        <w:t xml:space="preserve"> </w:t>
      </w:r>
      <w:r>
        <w:t xml:space="preserve">Probabilistic models assign probabilities to events or outcomes;</w:t>
      </w:r>
      <w:r>
        <w:t xml:space="preserve"> </w:t>
      </w:r>
      <w:r>
        <w:t xml:space="preserve">they focus on quantifying and reasoning about uncertainty based on known or estimated distributions.</w:t>
      </w:r>
      <w:r>
        <w:t xml:space="preserve"> </w:t>
      </w:r>
      <w:r>
        <w:t xml:space="preserve">While all stochastic models are probabilistic (since they use probabilities),</w:t>
      </w:r>
      <w:r>
        <w:t xml:space="preserve"> </w:t>
      </w:r>
      <w:r>
        <w:t xml:space="preserve">not all probabilistic models need to describe processes evolving in time.</w:t>
      </w:r>
    </w:p>
    <w:bookmarkEnd w:id="40"/>
    <w:bookmarkStart w:id="42" w:name="summary-of-usage"/>
    <w:p>
      <w:pPr>
        <w:pStyle w:val="Heading2"/>
      </w:pPr>
      <w:r>
        <w:t xml:space="preserve">5.3 Summary of usage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1" w:name="tbl-random-stochastic-probabilistic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4: Comparison of</w:t>
            </w:r>
            <w:r>
              <w:t xml:space="preserve"> </w:t>
            </w:r>
            <w:r>
              <w:t xml:space="preserve">“random”</w:t>
            </w:r>
            <w:r>
              <w:t xml:space="preserve">,</w:t>
            </w:r>
            <w:r>
              <w:t xml:space="preserve"> </w:t>
            </w:r>
            <w:r>
              <w:t xml:space="preserve">“stochastic”</w:t>
            </w:r>
            <w:r>
              <w:t xml:space="preserve">, and</w:t>
            </w:r>
            <w:r>
              <w:t xml:space="preserve"> </w:t>
            </w:r>
            <w:r>
              <w:t xml:space="preserve">“probabilistic”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981"/>
              <w:gridCol w:w="2225"/>
              <w:gridCol w:w="2356"/>
              <w:gridCol w:w="2356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Term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What it describes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Typical use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Example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Random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Single variable or event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Random variable, random outcome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Coin toss, die roll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Stochastic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System or process in time/space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Stochastic process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Stock price evolution, Markov chain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Probabilistic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Approach/model using probability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Probabilistic model/reasoning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Bayesian inference, regression</w:t>
                  </w:r>
                </w:p>
              </w:tc>
            </w:tr>
          </w:tbl>
          <w:bookmarkEnd w:id="41"/>
          <w:p/>
        </w:tc>
      </w:tr>
    </w:tbl>
    <w:p>
      <w:pPr>
        <w:pStyle w:val="BodyText"/>
      </w:pPr>
      <w:r>
        <w:t xml:space="preserve">While some sources treat</w:t>
      </w:r>
      <w:r>
        <w:t xml:space="preserve"> </w:t>
      </w:r>
      <w:r>
        <w:t xml:space="preserve">“stochastic”</w:t>
      </w:r>
      <w:r>
        <w:t xml:space="preserve"> </w:t>
      </w:r>
      <w:r>
        <w:t xml:space="preserve">and</w:t>
      </w:r>
      <w:r>
        <w:t xml:space="preserve"> </w:t>
      </w:r>
      <w:r>
        <w:t xml:space="preserve">“random”</w:t>
      </w:r>
      <w:r>
        <w:t xml:space="preserve"> </w:t>
      </w:r>
      <w:r>
        <w:t xml:space="preserve">as practically synonymous,</w:t>
      </w:r>
      <w:r>
        <w:t xml:space="preserve"> </w:t>
      </w:r>
      <w:r>
        <w:t xml:space="preserve">the academic preference is to use</w:t>
      </w:r>
      <w:r>
        <w:t xml:space="preserve"> </w:t>
      </w:r>
      <w:r>
        <w:t xml:space="preserve">“random”</w:t>
      </w:r>
      <w:r>
        <w:t xml:space="preserve"> </w:t>
      </w:r>
      <w:r>
        <w:t xml:space="preserve">for variables and events,</w:t>
      </w:r>
      <w:r>
        <w:t xml:space="preserve"> </w:t>
      </w:r>
      <w:r>
        <w:t xml:space="preserve">and</w:t>
      </w:r>
      <w:r>
        <w:t xml:space="preserve"> </w:t>
      </w:r>
      <w:r>
        <w:t xml:space="preserve">“stochastic”</w:t>
      </w:r>
      <w:r>
        <w:t xml:space="preserve"> </w:t>
      </w:r>
      <w:r>
        <w:t xml:space="preserve">for processes,</w:t>
      </w:r>
      <w:r>
        <w:t xml:space="preserve"> </w:t>
      </w:r>
      <w:r>
        <w:t xml:space="preserve">especially to highlight temporal or spatial structure in the modeling.</w:t>
      </w:r>
    </w:p>
    <w:bookmarkEnd w:id="42"/>
    <w:bookmarkStart w:id="46" w:name="additional-resources"/>
    <w:p>
      <w:pPr>
        <w:pStyle w:val="Heading2"/>
      </w:pPr>
      <w:r>
        <w:t xml:space="preserve">5.4 Additional resources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Wikipedia: Stochastic</w:t>
        </w:r>
      </w:hyperlink>
    </w:p>
    <w:p>
      <w:pPr>
        <w:pStyle w:val="Compact"/>
        <w:numPr>
          <w:ilvl w:val="0"/>
          <w:numId w:val="1009"/>
        </w:numPr>
      </w:pPr>
      <w:hyperlink r:id="rId43">
        <w:r>
          <w:rPr>
            <w:rStyle w:val="Hyperlink"/>
          </w:rPr>
          <w:t xml:space="preserve">Wikipedia: Stochastic process</w:t>
        </w:r>
      </w:hyperlink>
    </w:p>
    <w:p>
      <w:pPr>
        <w:pStyle w:val="Compact"/>
        <w:numPr>
          <w:ilvl w:val="0"/>
          <w:numId w:val="1009"/>
        </w:numPr>
      </w:pPr>
      <w:hyperlink r:id="rId44">
        <w:r>
          <w:rPr>
            <w:rStyle w:val="Hyperlink"/>
          </w:rPr>
          <w:t xml:space="preserve">Mathematics Stack Exchange: What’s the difference between stochastic and random?</w:t>
        </w:r>
      </w:hyperlink>
    </w:p>
    <w:p>
      <w:pPr>
        <w:pStyle w:val="Compact"/>
        <w:numPr>
          <w:ilvl w:val="0"/>
          <w:numId w:val="1009"/>
        </w:numPr>
      </w:pPr>
      <w:hyperlink r:id="rId45">
        <w:r>
          <w:rPr>
            <w:rStyle w:val="Hyperlink"/>
          </w:rPr>
          <w:t xml:space="preserve">Cross Validated: Probability model vs statistical model vs stochastic model</w:t>
        </w:r>
      </w:hyperlink>
    </w:p>
    <w:bookmarkEnd w:id="46"/>
    <w:bookmarkEnd w:id="47"/>
    <w:bookmarkStart w:id="54" w:name="X93a3d4ef5e06a67ae6b891e46b41b74b3674f55"/>
    <w:p>
      <w:pPr>
        <w:pStyle w:val="Heading1"/>
      </w:pPr>
      <w:r>
        <w:t xml:space="preserve">6. Why is notation in probability and statistics so inconsistent and disorganized?</w:t>
      </w:r>
    </w:p>
    <w:p>
      <w:pPr>
        <w:pStyle w:val="FirstParagraph"/>
      </w:pPr>
      <w:r>
        <w:t xml:space="preserve">In grad school,</w:t>
      </w:r>
      <w:r>
        <w:t xml:space="preserve"> </w:t>
      </w:r>
      <w:r>
        <w:t xml:space="preserve">we are asked to learn</w:t>
      </w:r>
      <w:r>
        <w:t xml:space="preserve"> </w:t>
      </w:r>
      <w:r>
        <w:t xml:space="preserve">from increasingly disorganized materials and lectures.</w:t>
      </w:r>
      <w:r>
        <w:t xml:space="preserve"> </w:t>
      </w:r>
      <w:r>
        <w:t xml:space="preserve">Not coincidentally,</w:t>
      </w:r>
      <w:r>
        <w:t xml:space="preserve"> </w:t>
      </w:r>
      <w:r>
        <w:t xml:space="preserve">as the amount of organization decreases,</w:t>
      </w:r>
      <w:r>
        <w:t xml:space="preserve"> </w:t>
      </w:r>
      <w:r>
        <w:t xml:space="preserve">the amount of complexity increases,</w:t>
      </w:r>
      <w:r>
        <w:t xml:space="preserve"> </w:t>
      </w:r>
      <w:r>
        <w:t xml:space="preserve">the amount of difficulty increases,</w:t>
      </w:r>
      <w:r>
        <w:t xml:space="preserve"> </w:t>
      </w:r>
      <w:r>
        <w:t xml:space="preserve">the number of reliable references decreases,</w:t>
      </w:r>
      <w:r>
        <w:t xml:space="preserve"> </w:t>
      </w:r>
      <w:r>
        <w:t xml:space="preserve">and the amount of inconsistency in notation and content increases</w:t>
      </w:r>
      <w:r>
        <w:t xml:space="preserve"> </w:t>
      </w:r>
      <w:r>
        <w:t xml:space="preserve">(both between multiple references and within single references!).</w:t>
      </w:r>
      <w:r>
        <w:t xml:space="preserve"> </w:t>
      </w:r>
      <w:r>
        <w:t xml:space="preserve">In other words,</w:t>
      </w:r>
      <w:r>
        <w:t xml:space="preserve"> </w:t>
      </w:r>
      <w:r>
        <w:t xml:space="preserve">as you approach the cutting-edge of most fields,</w:t>
      </w:r>
      <w:r>
        <w:t xml:space="preserve"> </w:t>
      </w:r>
      <w:r>
        <w:t xml:space="preserve">you start to encounter into content</w:t>
      </w:r>
      <w:r>
        <w:t xml:space="preserve"> </w:t>
      </w:r>
      <w:r>
        <w:t xml:space="preserve">that hasn’t been fully thought through or standardized.</w:t>
      </w:r>
      <w:r>
        <w:t xml:space="preserve"> </w:t>
      </w:r>
      <w:r>
        <w:t xml:space="preserve">This lack of clarity</w:t>
      </w:r>
      <w:r>
        <w:t xml:space="preserve"> </w:t>
      </w:r>
      <w:r>
        <w:t xml:space="preserve">is unfortunate and undesirable,</w:t>
      </w:r>
      <w:r>
        <w:t xml:space="preserve"> </w:t>
      </w:r>
      <w:r>
        <w:t xml:space="preserve">but it is understandable and inevitable.</w:t>
      </w:r>
    </w:p>
    <w:p>
      <w:pPr>
        <w:pStyle w:val="BodyText"/>
      </w:pPr>
      <w:r>
        <w:t xml:space="preserve">It’s worth noting</w:t>
      </w:r>
      <w:r>
        <w:t xml:space="preserve"> </w:t>
      </w:r>
      <w:r>
        <w:t xml:space="preserve">that calculus was formalized in the</w:t>
      </w:r>
      <w:r>
        <w:t xml:space="preserve"> </w:t>
      </w:r>
      <w:hyperlink r:id="rId48">
        <w:r>
          <w:rPr>
            <w:rStyle w:val="Hyperlink"/>
          </w:rPr>
          <w:t xml:space="preserve">1600s</w:t>
        </w:r>
      </w:hyperlink>
      <w:r>
        <w:t xml:space="preserve">,</w:t>
      </w:r>
      <w:r>
        <w:t xml:space="preserve"> </w:t>
      </w:r>
      <w:r>
        <w:t xml:space="preserve">elementary algebra was formalized around</w:t>
      </w:r>
      <w:r>
        <w:t xml:space="preserve"> </w:t>
      </w:r>
      <w:hyperlink r:id="rId49">
        <w:r>
          <w:rPr>
            <w:rStyle w:val="Hyperlink"/>
          </w:rPr>
          <w:t xml:space="preserve">820</w:t>
        </w:r>
      </w:hyperlink>
      <w:r>
        <w:t xml:space="preserve">,</w:t>
      </w:r>
      <w:r>
        <w:t xml:space="preserve"> </w:t>
      </w:r>
      <w:r>
        <w:t xml:space="preserve">and arithmetic</w:t>
      </w:r>
      <w:r>
        <w:t xml:space="preserve"> </w:t>
      </w:r>
      <w:hyperlink r:id="rId50">
        <w:r>
          <w:rPr>
            <w:rStyle w:val="Hyperlink"/>
          </w:rPr>
          <w:t xml:space="preserve">even earlier</w:t>
        </w:r>
      </w:hyperlink>
      <w:r>
        <w:t xml:space="preserve">.</w:t>
      </w:r>
      <w:r>
        <w:t xml:space="preserve"> </w:t>
      </w:r>
      <w:r>
        <w:t xml:space="preserve">And calculus still has</w:t>
      </w:r>
      <w:r>
        <w:t xml:space="preserve"> </w:t>
      </w:r>
      <w:hyperlink r:id="rId51">
        <w:r>
          <w:rPr>
            <w:rStyle w:val="Hyperlink"/>
          </w:rPr>
          <w:t xml:space="preserve">several competing notation systems</w:t>
        </w:r>
      </w:hyperlink>
      <w:r>
        <w:t xml:space="preserve">.</w:t>
      </w:r>
      <w:r>
        <w:t xml:space="preserve"> </w:t>
      </w:r>
      <w:r>
        <w:t xml:space="preserve">In contrast, the field of statistics only emerged in the</w:t>
      </w:r>
      <w:r>
        <w:t xml:space="preserve"> </w:t>
      </w:r>
      <w:hyperlink r:id="rId52">
        <w:r>
          <w:rPr>
            <w:rStyle w:val="Hyperlink"/>
          </w:rPr>
          <w:t xml:space="preserve">late 1800s and early 1900s</w:t>
        </w:r>
      </w:hyperlink>
      <w:r>
        <w:t xml:space="preserve">,</w:t>
      </w:r>
      <w:r>
        <w:t xml:space="preserve"> </w:t>
      </w:r>
      <w:r>
        <w:t xml:space="preserve">so it’s not surprising that the notation and terminology is still developing.</w:t>
      </w:r>
      <w:r>
        <w:t xml:space="preserve"> </w:t>
      </w:r>
      <w:r>
        <w:t xml:space="preserve">Generalized linear models were only formalized in 1972 (</w:t>
      </w:r>
      <w:r>
        <w:t xml:space="preserve">Nelder and Wedderburn (1972)</w:t>
      </w:r>
      <w:r>
        <w:t xml:space="preserve">),</w:t>
      </w:r>
      <w:r>
        <w:t xml:space="preserve"> </w:t>
      </w:r>
      <w:r>
        <w:t xml:space="preserve">which is very recent in terms of the</w:t>
      </w:r>
      <w:r>
        <w:t xml:space="preserve"> </w:t>
      </w:r>
      <w:hyperlink r:id="rId53">
        <w:r>
          <w:rPr>
            <w:rStyle w:val="Hyperlink"/>
          </w:rPr>
          <w:t xml:space="preserve">pace of scientific development</w:t>
        </w:r>
      </w:hyperlink>
      <w:r>
        <w:t xml:space="preserve">.</w:t>
      </w:r>
    </w:p>
    <w:bookmarkEnd w:id="54"/>
    <w:bookmarkStart w:id="70" w:name="references"/>
    <w:p>
      <w:pPr>
        <w:pStyle w:val="Heading1"/>
      </w:pPr>
      <w:r>
        <w:t xml:space="preserve">References</w:t>
      </w:r>
    </w:p>
    <w:bookmarkStart w:id="69" w:name="refs"/>
    <w:bookmarkStart w:id="56" w:name="ref-Adler2009random"/>
    <w:p>
      <w:pPr>
        <w:pStyle w:val="Bibliography"/>
      </w:pPr>
      <w:r>
        <w:t xml:space="preserve">Adler, Robert J., and Jonathan E. Taylor. 2009.</w:t>
      </w:r>
      <w:r>
        <w:t xml:space="preserve"> </w:t>
      </w:r>
      <w:r>
        <w:rPr>
          <w:i/>
          <w:iCs/>
        </w:rPr>
        <w:t xml:space="preserve">Random Fields and Geometry</w:t>
      </w:r>
      <w:r>
        <w:t xml:space="preserve">. Springer.</w:t>
      </w:r>
      <w:r>
        <w:t xml:space="preserve"> </w:t>
      </w:r>
      <w:hyperlink r:id="rId55">
        <w:r>
          <w:rPr>
            <w:rStyle w:val="Hyperlink"/>
          </w:rPr>
          <w:t xml:space="preserve">https://doi.org/10.1007/978-0-387-48116-6</w:t>
        </w:r>
      </w:hyperlink>
      <w:r>
        <w:t xml:space="preserve">.</w:t>
      </w:r>
    </w:p>
    <w:bookmarkEnd w:id="56"/>
    <w:bookmarkStart w:id="58" w:name="ref-dobson4e"/>
    <w:p>
      <w:pPr>
        <w:pStyle w:val="Bibliography"/>
      </w:pPr>
      <w:r>
        <w:t xml:space="preserve">Dobson, Annette J, and Adrian G Barnett. 2018.</w:t>
      </w:r>
      <w:r>
        <w:t xml:space="preserve"> </w:t>
      </w:r>
      <w:r>
        <w:rPr>
          <w:i/>
          <w:iCs/>
        </w:rPr>
        <w:t xml:space="preserve">An Introduction to Generalized Linear Models</w:t>
      </w:r>
      <w:r>
        <w:t xml:space="preserve">. 4th ed. CRC press.</w:t>
      </w:r>
      <w:r>
        <w:t xml:space="preserve"> </w:t>
      </w:r>
      <w:hyperlink r:id="rId57">
        <w:r>
          <w:rPr>
            <w:rStyle w:val="Hyperlink"/>
          </w:rPr>
          <w:t xml:space="preserve">https://doi.org/10.1201/9781315182780</w:t>
        </w:r>
      </w:hyperlink>
      <w:r>
        <w:t xml:space="preserve">.</w:t>
      </w:r>
    </w:p>
    <w:bookmarkEnd w:id="58"/>
    <w:bookmarkStart w:id="60" w:name="ref-dunn2018generalized"/>
    <w:p>
      <w:pPr>
        <w:pStyle w:val="Bibliography"/>
      </w:pPr>
      <w:r>
        <w:t xml:space="preserve">Dunn, Peter K, and Gordon K Smyth. 2018.</w:t>
      </w:r>
      <w:r>
        <w:t xml:space="preserve"> </w:t>
      </w:r>
      <w:r>
        <w:rPr>
          <w:i/>
          <w:iCs/>
        </w:rPr>
        <w:t xml:space="preserve">Generalized Linear Models with Examples in</w:t>
      </w:r>
      <w:r>
        <w:rPr>
          <w:i/>
          <w:iCs/>
        </w:rPr>
        <w:t xml:space="preserve"> </w:t>
      </w:r>
      <w:r>
        <w:rPr>
          <w:i/>
          <w:iCs/>
        </w:rPr>
        <w:t xml:space="preserve">R</w:t>
      </w:r>
      <w:r>
        <w:t xml:space="preserve">. Vol. 53. Springer.</w:t>
      </w:r>
      <w:r>
        <w:t xml:space="preserve"> </w:t>
      </w:r>
      <w:hyperlink r:id="rId59">
        <w:r>
          <w:rPr>
            <w:rStyle w:val="Hyperlink"/>
          </w:rPr>
          <w:t xml:space="preserve">https://link.springer.com/book/10.1007/978-1-4419-0118-7</w:t>
        </w:r>
      </w:hyperlink>
      <w:r>
        <w:t xml:space="preserve">.</w:t>
      </w:r>
    </w:p>
    <w:bookmarkEnd w:id="60"/>
    <w:bookmarkStart w:id="62" w:name="ref-Kallenberg2002foundations"/>
    <w:p>
      <w:pPr>
        <w:pStyle w:val="Bibliography"/>
      </w:pPr>
      <w:r>
        <w:t xml:space="preserve">Kallenberg, Olav. 2002.</w:t>
      </w:r>
      <w:r>
        <w:t xml:space="preserve"> </w:t>
      </w:r>
      <w:r>
        <w:rPr>
          <w:i/>
          <w:iCs/>
        </w:rPr>
        <w:t xml:space="preserve">Foundations of Modern Probability</w:t>
      </w:r>
      <w:r>
        <w:t xml:space="preserve">. 2nd ed. Springer.</w:t>
      </w:r>
      <w:r>
        <w:t xml:space="preserve"> </w:t>
      </w:r>
      <w:hyperlink r:id="rId61">
        <w:r>
          <w:rPr>
            <w:rStyle w:val="Hyperlink"/>
          </w:rPr>
          <w:t xml:space="preserve">https://doi.org/10.1007/978-1-4757-4015-8</w:t>
        </w:r>
      </w:hyperlink>
      <w:r>
        <w:t xml:space="preserve">.</w:t>
      </w:r>
    </w:p>
    <w:bookmarkEnd w:id="62"/>
    <w:bookmarkStart w:id="64" w:name="ref-mclachlan2007em"/>
    <w:p>
      <w:pPr>
        <w:pStyle w:val="Bibliography"/>
      </w:pPr>
      <w:r>
        <w:t xml:space="preserve">McLachlan, Geoffrey J, and Thriyambakam Krishnan. 2007.</w:t>
      </w:r>
      <w:r>
        <w:t xml:space="preserve"> </w:t>
      </w:r>
      <w:r>
        <w:rPr>
          <w:i/>
          <w:iCs/>
        </w:rPr>
        <w:t xml:space="preserve">The</w:t>
      </w:r>
      <w:r>
        <w:rPr>
          <w:i/>
          <w:iCs/>
        </w:rPr>
        <w:t xml:space="preserve"> </w:t>
      </w:r>
      <w:r>
        <w:rPr>
          <w:i/>
          <w:iCs/>
        </w:rPr>
        <w:t xml:space="preserve">EM</w:t>
      </w:r>
      <w:r>
        <w:rPr>
          <w:i/>
          <w:iCs/>
        </w:rPr>
        <w:t xml:space="preserve"> </w:t>
      </w:r>
      <w:r>
        <w:rPr>
          <w:i/>
          <w:iCs/>
        </w:rPr>
        <w:t xml:space="preserve">Algorithm and Extensions</w:t>
      </w:r>
      <w:r>
        <w:t xml:space="preserve">. 2nd ed. John Wiley &amp; Sons.</w:t>
      </w:r>
      <w:r>
        <w:t xml:space="preserve"> </w:t>
      </w:r>
      <w:hyperlink r:id="rId63">
        <w:r>
          <w:rPr>
            <w:rStyle w:val="Hyperlink"/>
          </w:rPr>
          <w:t xml:space="preserve">https://doi.org/10.1002/9780470191613</w:t>
        </w:r>
      </w:hyperlink>
      <w:r>
        <w:t xml:space="preserve">.</w:t>
      </w:r>
    </w:p>
    <w:bookmarkEnd w:id="64"/>
    <w:bookmarkStart w:id="65" w:name="ref-nelder1972generalized"/>
    <w:p>
      <w:pPr>
        <w:pStyle w:val="Bibliography"/>
      </w:pPr>
      <w:r>
        <w:t xml:space="preserve">Nelder, John Ashworth, and Robert WM Wedderburn. 1972.</w:t>
      </w:r>
      <w:r>
        <w:t xml:space="preserve"> </w:t>
      </w:r>
      <w:r>
        <w:t xml:space="preserve">“Generalized Linear Models.”</w:t>
      </w:r>
      <w:r>
        <w:t xml:space="preserve"> </w:t>
      </w:r>
      <w:r>
        <w:rPr>
          <w:i/>
          <w:iCs/>
        </w:rPr>
        <w:t xml:space="preserve">Journal of the Royal Statistical Society Series A: Statistics in Society</w:t>
      </w:r>
      <w:r>
        <w:t xml:space="preserve"> </w:t>
      </w:r>
      <w:r>
        <w:t xml:space="preserve">135 (3): 370–84.</w:t>
      </w:r>
    </w:p>
    <w:bookmarkEnd w:id="65"/>
    <w:bookmarkStart w:id="67" w:name="ref-Stirzaker2005probability"/>
    <w:p>
      <w:pPr>
        <w:pStyle w:val="Bibliography"/>
      </w:pPr>
      <w:r>
        <w:t xml:space="preserve">Stirzaker, David. 2005.</w:t>
      </w:r>
      <w:r>
        <w:t xml:space="preserve"> </w:t>
      </w:r>
      <w:r>
        <w:rPr>
          <w:i/>
          <w:iCs/>
        </w:rPr>
        <w:t xml:space="preserve">Stochastic Processes and Models</w:t>
      </w:r>
      <w:r>
        <w:t xml:space="preserve">. Oxford University Press.</w:t>
      </w:r>
      <w:r>
        <w:t xml:space="preserve"> </w:t>
      </w:r>
      <w:hyperlink r:id="rId66">
        <w:r>
          <w:rPr>
            <w:rStyle w:val="Hyperlink"/>
          </w:rPr>
          <w:t xml:space="preserve">https://global.oup.com/academic/product/stochastic-processes-and-models-9780198568131</w:t>
        </w:r>
      </w:hyperlink>
      <w:r>
        <w:t xml:space="preserve">.</w:t>
      </w:r>
    </w:p>
    <w:bookmarkEnd w:id="67"/>
    <w:bookmarkStart w:id="68" w:name="ref-wood2017generalized"/>
    <w:p>
      <w:pPr>
        <w:pStyle w:val="Bibliography"/>
      </w:pPr>
      <w:r>
        <w:t xml:space="preserve">Wood, Simon N. 2017.</w:t>
      </w:r>
      <w:r>
        <w:t xml:space="preserve"> </w:t>
      </w:r>
      <w:r>
        <w:rPr>
          <w:i/>
          <w:iCs/>
        </w:rPr>
        <w:t xml:space="preserve">Generalized Additive Models: An Introduction with r</w:t>
      </w:r>
      <w:r>
        <w:t xml:space="preserve">. Chapman; hall/CRC.</w:t>
      </w:r>
    </w:p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depending on whether it is applied to a matrix or a function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6" Target="media/rId36.png" /><Relationship Type="http://schemas.openxmlformats.org/officeDocument/2006/relationships/hyperlink" Id="rId63" Target="https://doi.org/10.1002/9780470191613" TargetMode="External" /><Relationship Type="http://schemas.openxmlformats.org/officeDocument/2006/relationships/hyperlink" Id="rId55" Target="https://doi.org/10.1007/978-0-387-48116-6" TargetMode="External" /><Relationship Type="http://schemas.openxmlformats.org/officeDocument/2006/relationships/hyperlink" Id="rId61" Target="https://doi.org/10.1007/978-1-4757-4015-8" TargetMode="External" /><Relationship Type="http://schemas.openxmlformats.org/officeDocument/2006/relationships/hyperlink" Id="rId57" Target="https://doi.org/10.1201/9781315182780" TargetMode="External" /><Relationship Type="http://schemas.openxmlformats.org/officeDocument/2006/relationships/hyperlink" Id="rId49" Target="https://en.wikipedia.org/wiki/Al-Jabr" TargetMode="External" /><Relationship Type="http://schemas.openxmlformats.org/officeDocument/2006/relationships/hyperlink" Id="rId50" Target="https://en.wikipedia.org/wiki/Arithmetic#History" TargetMode="External" /><Relationship Type="http://schemas.openxmlformats.org/officeDocument/2006/relationships/hyperlink" Id="rId12" Target="https://en.wikipedia.org/wiki/Generalized_linear_model#:~:text=The%20linear%20predictor%20is%20the,data%20through%20the%20link%20function" TargetMode="External" /><Relationship Type="http://schemas.openxmlformats.org/officeDocument/2006/relationships/hyperlink" Id="rId52" Target="https://en.wikipedia.org/wiki/History_of_statistics#Development_of_modern_statistics" TargetMode="External" /><Relationship Type="http://schemas.openxmlformats.org/officeDocument/2006/relationships/hyperlink" Id="rId26" Target="https://en.wikipedia.org/wiki/Iverson_bracket" TargetMode="External" /><Relationship Type="http://schemas.openxmlformats.org/officeDocument/2006/relationships/hyperlink" Id="rId48" Target="https://en.wikipedia.org/wiki/Leibniz%27s_notation" TargetMode="External" /><Relationship Type="http://schemas.openxmlformats.org/officeDocument/2006/relationships/hyperlink" Id="rId51" Target="https://en.wikipedia.org/wiki/Notation_for_differentiation" TargetMode="External" /><Relationship Type="http://schemas.openxmlformats.org/officeDocument/2006/relationships/hyperlink" Id="rId16" Target="https://en.wikipedia.org/wiki/Percentage" TargetMode="External" /><Relationship Type="http://schemas.openxmlformats.org/officeDocument/2006/relationships/hyperlink" Id="rId34" Target="https://en.wikipedia.org/wiki/Stochastic" TargetMode="External" /><Relationship Type="http://schemas.openxmlformats.org/officeDocument/2006/relationships/hyperlink" Id="rId43" Target="https://en.wikipedia.org/wiki/Stochastic_process" TargetMode="External" /><Relationship Type="http://schemas.openxmlformats.org/officeDocument/2006/relationships/hyperlink" Id="rId53" Target="https://en.wikipedia.org/wiki/The_Structure_of_Scientific_Revolutions" TargetMode="External" /><Relationship Type="http://schemas.openxmlformats.org/officeDocument/2006/relationships/hyperlink" Id="rId66" Target="https://global.oup.com/academic/product/stochastic-processes-and-models-9780198568131" TargetMode="External" /><Relationship Type="http://schemas.openxmlformats.org/officeDocument/2006/relationships/hyperlink" Id="rId59" Target="https://link.springer.com/book/10.1007/978-1-4419-0118-7" TargetMode="External" /><Relationship Type="http://schemas.openxmlformats.org/officeDocument/2006/relationships/hyperlink" Id="rId44" Target="https://math.stackexchange.com/questions/114373/whats-the-difference-between-stochastic-and-random" TargetMode="External" /><Relationship Type="http://schemas.openxmlformats.org/officeDocument/2006/relationships/hyperlink" Id="rId45" Target="https://stats.stackexchange.com/questions/421462/probability-model-vs-statistical-model-vs-stochastic-model" TargetMode="External" /><Relationship Type="http://schemas.openxmlformats.org/officeDocument/2006/relationships/hyperlink" Id="rId39" Target="https://www.etymonline.com/search?q=stochastic" TargetMode="External" /><Relationship Type="http://schemas.openxmlformats.org/officeDocument/2006/relationships/hyperlink" Id="rId9" Target="probability.qmd#def-expectation" TargetMode="External" /><Relationship Type="http://schemas.openxmlformats.org/officeDocument/2006/relationships/hyperlink" Id="rId11" Target="probability.qmd#def-indpt" TargetMode="External" /><Relationship Type="http://schemas.openxmlformats.org/officeDocument/2006/relationships/hyperlink" Id="rId18" Target="proof-writing.q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3" Target="https://doi.org/10.1002/9780470191613" TargetMode="External" /><Relationship Type="http://schemas.openxmlformats.org/officeDocument/2006/relationships/hyperlink" Id="rId55" Target="https://doi.org/10.1007/978-0-387-48116-6" TargetMode="External" /><Relationship Type="http://schemas.openxmlformats.org/officeDocument/2006/relationships/hyperlink" Id="rId61" Target="https://doi.org/10.1007/978-1-4757-4015-8" TargetMode="External" /><Relationship Type="http://schemas.openxmlformats.org/officeDocument/2006/relationships/hyperlink" Id="rId57" Target="https://doi.org/10.1201/9781315182780" TargetMode="External" /><Relationship Type="http://schemas.openxmlformats.org/officeDocument/2006/relationships/hyperlink" Id="rId49" Target="https://en.wikipedia.org/wiki/Al-Jabr" TargetMode="External" /><Relationship Type="http://schemas.openxmlformats.org/officeDocument/2006/relationships/hyperlink" Id="rId50" Target="https://en.wikipedia.org/wiki/Arithmetic#History" TargetMode="External" /><Relationship Type="http://schemas.openxmlformats.org/officeDocument/2006/relationships/hyperlink" Id="rId12" Target="https://en.wikipedia.org/wiki/Generalized_linear_model#:~:text=The%20linear%20predictor%20is%20the,data%20through%20the%20link%20function" TargetMode="External" /><Relationship Type="http://schemas.openxmlformats.org/officeDocument/2006/relationships/hyperlink" Id="rId52" Target="https://en.wikipedia.org/wiki/History_of_statistics#Development_of_modern_statistics" TargetMode="External" /><Relationship Type="http://schemas.openxmlformats.org/officeDocument/2006/relationships/hyperlink" Id="rId26" Target="https://en.wikipedia.org/wiki/Iverson_bracket" TargetMode="External" /><Relationship Type="http://schemas.openxmlformats.org/officeDocument/2006/relationships/hyperlink" Id="rId48" Target="https://en.wikipedia.org/wiki/Leibniz%27s_notation" TargetMode="External" /><Relationship Type="http://schemas.openxmlformats.org/officeDocument/2006/relationships/hyperlink" Id="rId51" Target="https://en.wikipedia.org/wiki/Notation_for_differentiation" TargetMode="External" /><Relationship Type="http://schemas.openxmlformats.org/officeDocument/2006/relationships/hyperlink" Id="rId16" Target="https://en.wikipedia.org/wiki/Percentage" TargetMode="External" /><Relationship Type="http://schemas.openxmlformats.org/officeDocument/2006/relationships/hyperlink" Id="rId34" Target="https://en.wikipedia.org/wiki/Stochastic" TargetMode="External" /><Relationship Type="http://schemas.openxmlformats.org/officeDocument/2006/relationships/hyperlink" Id="rId43" Target="https://en.wikipedia.org/wiki/Stochastic_process" TargetMode="External" /><Relationship Type="http://schemas.openxmlformats.org/officeDocument/2006/relationships/hyperlink" Id="rId53" Target="https://en.wikipedia.org/wiki/The_Structure_of_Scientific_Revolutions" TargetMode="External" /><Relationship Type="http://schemas.openxmlformats.org/officeDocument/2006/relationships/hyperlink" Id="rId66" Target="https://global.oup.com/academic/product/stochastic-processes-and-models-9780198568131" TargetMode="External" /><Relationship Type="http://schemas.openxmlformats.org/officeDocument/2006/relationships/hyperlink" Id="rId59" Target="https://link.springer.com/book/10.1007/978-1-4419-0118-7" TargetMode="External" /><Relationship Type="http://schemas.openxmlformats.org/officeDocument/2006/relationships/hyperlink" Id="rId44" Target="https://math.stackexchange.com/questions/114373/whats-the-difference-between-stochastic-and-random" TargetMode="External" /><Relationship Type="http://schemas.openxmlformats.org/officeDocument/2006/relationships/hyperlink" Id="rId45" Target="https://stats.stackexchange.com/questions/421462/probability-model-vs-statistical-model-vs-stochastic-model" TargetMode="External" /><Relationship Type="http://schemas.openxmlformats.org/officeDocument/2006/relationships/hyperlink" Id="rId39" Target="https://www.etymonline.com/search?q=stochastic" TargetMode="External" /><Relationship Type="http://schemas.openxmlformats.org/officeDocument/2006/relationships/hyperlink" Id="rId9" Target="probability.qmd#def-expectation" TargetMode="External" /><Relationship Type="http://schemas.openxmlformats.org/officeDocument/2006/relationships/hyperlink" Id="rId11" Target="probability.qmd#def-indpt" TargetMode="External" /><Relationship Type="http://schemas.openxmlformats.org/officeDocument/2006/relationships/hyperlink" Id="rId18" Target="proof-writing.q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Notation</dc:title>
  <dc:creator/>
  <cp:keywords/>
  <dcterms:created xsi:type="dcterms:W3CDTF">2026-09-29T07:30:41Z</dcterms:created>
  <dcterms:modified xsi:type="dcterms:W3CDTF">2026-09-29T07:30:41Z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