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Nonparametric Models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pict>
          <v:rect style="width:0;height:1.5pt" o:hralign="center" o:hrstd="t" o:hr="t"/>
        </w:pict>
      </w:r>
    </w:p>
    <w:bookmarkStart w:id="9" w:name="configuring-r"/>
    <w:p>
      <w:pPr>
        <w:pStyle w:val="Heading3"/>
      </w:pPr>
      <w:r>
        <w:t xml:space="preserve">Configuring R</w:t>
      </w:r>
    </w:p>
    <w:p>
      <w:pPr>
        <w:pStyle w:val="FirstParagraph"/>
      </w:pPr>
      <w:r>
        <w:t xml:space="preserve">Functions from these packages will be used throughout this document: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(conflicted) </w:t>
      </w:r>
      <w:r>
        <w:rPr>
          <w:rStyle w:val="CommentTok"/>
        </w:rPr>
        <w:t xml:space="preserve"># check for conflicting function definitions</w:t>
      </w:r>
      <w:r>
        <w:br/>
      </w:r>
      <w:r>
        <w:rPr>
          <w:rStyle w:val="CommentTok"/>
        </w:rPr>
        <w:t xml:space="preserve"># library(printr) # inserts help-file output into markdown output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(rmarkdown) </w:t>
      </w:r>
      <w:r>
        <w:rPr>
          <w:rStyle w:val="CommentTok"/>
        </w:rPr>
        <w:t xml:space="preserve"># Convert R Markdown documents into a variety of formats.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(pander) </w:t>
      </w:r>
      <w:r>
        <w:rPr>
          <w:rStyle w:val="CommentTok"/>
        </w:rPr>
        <w:t xml:space="preserve"># format tables for markdown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(ggplot2) </w:t>
      </w:r>
      <w:r>
        <w:rPr>
          <w:rStyle w:val="CommentTok"/>
        </w:rPr>
        <w:t xml:space="preserve"># graphics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(ggfortify) </w:t>
      </w:r>
      <w:r>
        <w:rPr>
          <w:rStyle w:val="CommentTok"/>
        </w:rPr>
        <w:t xml:space="preserve"># help with graphics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(dplyr) </w:t>
      </w:r>
      <w:r>
        <w:rPr>
          <w:rStyle w:val="CommentTok"/>
        </w:rPr>
        <w:t xml:space="preserve"># manipulate data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(tibble) </w:t>
      </w:r>
      <w:r>
        <w:rPr>
          <w:rStyle w:val="CommentTok"/>
        </w:rPr>
        <w:t xml:space="preserve"># `tibble`s extend `data.frame`s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(magrittr) </w:t>
      </w:r>
      <w:r>
        <w:rPr>
          <w:rStyle w:val="CommentTok"/>
        </w:rPr>
        <w:t xml:space="preserve"># `%&gt;%` and other additional piping tools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(haven) </w:t>
      </w:r>
      <w:r>
        <w:rPr>
          <w:rStyle w:val="CommentTok"/>
        </w:rPr>
        <w:t xml:space="preserve"># import Stata files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(knitr) </w:t>
      </w:r>
      <w:r>
        <w:rPr>
          <w:rStyle w:val="CommentTok"/>
        </w:rPr>
        <w:t xml:space="preserve"># format R output for markdown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(tidyr) </w:t>
      </w:r>
      <w:r>
        <w:rPr>
          <w:rStyle w:val="CommentTok"/>
        </w:rPr>
        <w:t xml:space="preserve"># Tools to help to create tidy data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(plotly) </w:t>
      </w:r>
      <w:r>
        <w:rPr>
          <w:rStyle w:val="CommentTok"/>
        </w:rPr>
        <w:t xml:space="preserve"># interactive graphics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(dobson) </w:t>
      </w:r>
      <w:r>
        <w:rPr>
          <w:rStyle w:val="CommentTok"/>
        </w:rPr>
        <w:t xml:space="preserve"># datasets from Dobson and Barnett 2018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(parameters) </w:t>
      </w:r>
      <w:r>
        <w:rPr>
          <w:rStyle w:val="CommentTok"/>
        </w:rPr>
        <w:t xml:space="preserve"># format model output tables for markdown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(haven) </w:t>
      </w:r>
      <w:r>
        <w:rPr>
          <w:rStyle w:val="CommentTok"/>
        </w:rPr>
        <w:t xml:space="preserve"># import Stata files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(latex2exp) </w:t>
      </w:r>
      <w:r>
        <w:rPr>
          <w:rStyle w:val="CommentTok"/>
        </w:rPr>
        <w:t xml:space="preserve"># use LaTeX in R code (for figures and tables)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(fs) </w:t>
      </w:r>
      <w:r>
        <w:rPr>
          <w:rStyle w:val="CommentTok"/>
        </w:rPr>
        <w:t xml:space="preserve"># filesystem path manipulations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(survival) </w:t>
      </w:r>
      <w:r>
        <w:rPr>
          <w:rStyle w:val="CommentTok"/>
        </w:rPr>
        <w:t xml:space="preserve"># survival analysis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(survminer) </w:t>
      </w:r>
      <w:r>
        <w:rPr>
          <w:rStyle w:val="CommentTok"/>
        </w:rPr>
        <w:t xml:space="preserve"># survival analysis graphics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(KMsurv) </w:t>
      </w:r>
      <w:r>
        <w:rPr>
          <w:rStyle w:val="CommentTok"/>
        </w:rPr>
        <w:t xml:space="preserve"># datasets from Klein and Moeschberger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(parameters) </w:t>
      </w:r>
      <w:r>
        <w:rPr>
          <w:rStyle w:val="CommentTok"/>
        </w:rPr>
        <w:t xml:space="preserve"># format model output tables for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(webshot2) </w:t>
      </w:r>
      <w:r>
        <w:rPr>
          <w:rStyle w:val="CommentTok"/>
        </w:rPr>
        <w:t xml:space="preserve"># convert interactive content to static for pdf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(forcats) </w:t>
      </w:r>
      <w:r>
        <w:rPr>
          <w:rStyle w:val="CommentTok"/>
        </w:rPr>
        <w:t xml:space="preserve"># functions for categorical variables ("factors")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(stringr) </w:t>
      </w:r>
      <w:r>
        <w:rPr>
          <w:rStyle w:val="CommentTok"/>
        </w:rPr>
        <w:t xml:space="preserve"># functions for dealing with strings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(lubridate) </w:t>
      </w:r>
      <w:r>
        <w:rPr>
          <w:rStyle w:val="CommentTok"/>
        </w:rPr>
        <w:t xml:space="preserve"># functions for dealing with dates and times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(broom) </w:t>
      </w:r>
      <w:r>
        <w:rPr>
          <w:rStyle w:val="CommentTok"/>
        </w:rPr>
        <w:t xml:space="preserve"># Summarizes key information about statistical objects in tidy tibbles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(broom.helpers) </w:t>
      </w:r>
      <w:r>
        <w:rPr>
          <w:rStyle w:val="CommentTok"/>
        </w:rPr>
        <w:t xml:space="preserve"># Provides suite of functions to work with regression model 'broom::tidy()' tibbles</w:t>
      </w:r>
    </w:p>
    <w:p>
      <w:pPr>
        <w:pStyle w:val="FirstParagraph"/>
      </w:pPr>
      <w:r>
        <w:t xml:space="preserve">Here are some R settings I use in this document:</w:t>
      </w:r>
    </w:p>
    <w:p>
      <w:pPr>
        <w:pStyle w:val="SourceCode"/>
      </w:pPr>
      <w:r>
        <w:rPr>
          <w:rStyle w:val="FunctionTok"/>
        </w:rPr>
        <w:t xml:space="preserve">rm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list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ls</w:t>
      </w:r>
      <w:r>
        <w:rPr>
          <w:rStyle w:val="NormalTok"/>
        </w:rPr>
        <w:t xml:space="preserve">()) </w:t>
      </w:r>
      <w:r>
        <w:rPr>
          <w:rStyle w:val="CommentTok"/>
        </w:rPr>
        <w:t xml:space="preserve"># delete any data that's already loaded into R</w:t>
      </w:r>
      <w:r>
        <w:br/>
      </w:r>
      <w:r>
        <w:br/>
      </w:r>
      <w:r>
        <w:rPr>
          <w:rStyle w:val="FunctionTok"/>
        </w:rPr>
        <w:t xml:space="preserve">conflicts_prefer</w:t>
      </w:r>
      <w:r>
        <w:rPr>
          <w:rStyle w:val="NormalTok"/>
        </w:rPr>
        <w:t xml:space="preserve">(dplyr</w:t>
      </w:r>
      <w:r>
        <w:rPr>
          <w:rStyle w:val="SpecialCharTok"/>
        </w:rPr>
        <w:t xml:space="preserve">::</w:t>
      </w:r>
      <w:r>
        <w:rPr>
          <w:rStyle w:val="NormalTok"/>
        </w:rPr>
        <w:t xml:space="preserve">filter)</w:t>
      </w:r>
      <w:r>
        <w:br/>
      </w:r>
      <w:r>
        <w:rPr>
          <w:rStyle w:val="NormalTok"/>
        </w:rPr>
        <w:t xml:space="preserve">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theme_set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theme_bw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# ggplot2::labs(col = "") +</w:t>
      </w:r>
      <w:r>
        <w:br/>
      </w:r>
      <w:r>
        <w:rPr>
          <w:rStyle w:val="NormalTok"/>
        </w:rPr>
        <w:t xml:space="preserve">  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theme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legend.position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"bottom"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text =</w:t>
      </w:r>
      <w:r>
        <w:rPr>
          <w:rStyle w:val="NormalTok"/>
        </w:rPr>
        <w:t xml:space="preserve">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element_text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size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family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"serif"</w:t>
      </w:r>
      <w:r>
        <w:rPr>
          <w:rStyle w:val="NormalTok"/>
        </w:rPr>
        <w:t xml:space="preserve">)))</w:t>
      </w:r>
      <w:r>
        <w:br/>
      </w:r>
      <w:r>
        <w:br/>
      </w:r>
      <w:r>
        <w:rPr>
          <w:rStyle w:val="NormalTok"/>
        </w:rPr>
        <w:t xml:space="preserve">knitr</w:t>
      </w:r>
      <w:r>
        <w:rPr>
          <w:rStyle w:val="SpecialCharTok"/>
        </w:rPr>
        <w:t xml:space="preserve">::</w:t>
      </w:r>
      <w:r>
        <w:rPr>
          <w:rStyle w:val="NormalTok"/>
        </w:rPr>
        <w:t xml:space="preserve">opts_chunk</w:t>
      </w:r>
      <w:r>
        <w:rPr>
          <w:rStyle w:val="SpecialCharTok"/>
        </w:rPr>
        <w:t xml:space="preserve">$</w:t>
      </w:r>
      <w:r>
        <w:rPr>
          <w:rStyle w:val="FunctionTok"/>
        </w:rPr>
        <w:t xml:space="preserve">set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message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options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'digits'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FunctionTok"/>
        </w:rPr>
        <w:t xml:space="preserve">panderOptions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"big.mark"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","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pander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panderOptions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"table.emphasize.rownames"</w:t>
      </w:r>
      <w:r>
        <w:rPr>
          <w:rStyle w:val="NormalTok"/>
        </w:rPr>
        <w:t xml:space="preserve">,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pander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panderOptions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"table.split.table"</w:t>
      </w:r>
      <w:r>
        <w:rPr>
          <w:rStyle w:val="NormalTok"/>
        </w:rPr>
        <w:t xml:space="preserve">, </w:t>
      </w:r>
      <w:r>
        <w:rPr>
          <w:rStyle w:val="ConstantTok"/>
        </w:rPr>
        <w:t xml:space="preserve">Inf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conflicts_prefer</w:t>
      </w:r>
      <w:r>
        <w:rPr>
          <w:rStyle w:val="NormalTok"/>
        </w:rPr>
        <w:t xml:space="preserve">(dplyr</w:t>
      </w:r>
      <w:r>
        <w:rPr>
          <w:rStyle w:val="SpecialCharTok"/>
        </w:rPr>
        <w:t xml:space="preserve">::</w:t>
      </w:r>
      <w:r>
        <w:rPr>
          <w:rStyle w:val="NormalTok"/>
        </w:rPr>
        <w:t xml:space="preserve">filter) </w:t>
      </w:r>
      <w:r>
        <w:rPr>
          <w:rStyle w:val="CommentTok"/>
        </w:rPr>
        <w:t xml:space="preserve"># use the `filter()` function from dplyr() by default</w:t>
      </w:r>
      <w:r>
        <w:br/>
      </w:r>
      <w:r>
        <w:rPr>
          <w:rStyle w:val="NormalTok"/>
        </w:rPr>
        <w:t xml:space="preserve">legend_text_size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br/>
      </w:r>
      <w:r>
        <w:rPr>
          <w:rStyle w:val="NormalTok"/>
        </w:rPr>
        <w:t xml:space="preserve">run_graphs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</w:p>
    <w:p>
      <w:r>
        <w:pict>
          <v:rect style="width:0;height:1.5pt" o:hralign="center" o:hrstd="t" o:hr="t"/>
        </w:pict>
      </w:r>
    </w:p>
    <w:bookmarkEnd w:id="9"/>
    <w:bookmarkStart w:id="27" w:name="empirical-cdf-and-quantiles"/>
    <w:p>
      <w:pPr>
        <w:pStyle w:val="Heading1"/>
      </w:pPr>
      <w:r>
        <w:t xml:space="preserve">1. Empirical CDF and quantiles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0" w:name="def-empirical-cdf"/>
          <w:p>
            <w:pPr>
              <w:pStyle w:val="BodyText"/>
            </w:pPr>
            <w:r>
              <w:rPr>
                <w:b/>
                <w:bCs/>
              </w:rPr>
              <w:t xml:space="preserve">Definition 1 (Empirical CDF)</w:t>
            </w:r>
            <w:r>
              <w:t xml:space="preserve"> </w:t>
            </w:r>
            <w:r>
              <w:t xml:space="preserve">For observed values</w:t>
            </w:r>
            <w:r>
              <w:t xml:space="preserve"> </w:t>
            </w:r>
            <m:oMath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x</m:t>
                  </m:r>
                </m:e>
                <m:sub>
                  <m:r>
                    <m:t>n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the empirical CDF 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acc>
                  <m:accPr>
                    <m:chr m:val="̂"/>
                  </m:accPr>
                  <m:e>
                    <m:r>
                      <m:t>F</m:t>
                    </m:r>
                  </m:e>
                </m:acc>
                <m:r>
                  <m:rPr>
                    <m:sty m:val="p"/>
                  </m:rPr>
                  <m:t>(</m:t>
                </m:r>
                <m:r>
                  <m:t>t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n</m:t>
                    </m:r>
                  </m:den>
                </m:f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j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n</m:t>
                    </m:r>
                  </m:sup>
                  <m:e>
                    <m:r>
                      <m:t>I</m:t>
                    </m:r>
                  </m:e>
                </m:nary>
                <m:r>
                  <m:rPr>
                    <m:sty m:val="p"/>
                  </m:rPr>
                  <m:t>(</m:t>
                </m:r>
                <m:sSub>
                  <m:e>
                    <m:r>
                      <m:t>x</m:t>
                    </m:r>
                  </m:e>
                  <m:sub>
                    <m:r>
                      <m:t>j</m:t>
                    </m:r>
                  </m:sub>
                </m:sSub>
                <m:r>
                  <m:rPr>
                    <m:sty m:val="p"/>
                  </m:rPr>
                  <m:t>≤</m:t>
                </m:r>
                <m:r>
                  <m:t>t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,</m:t>
                </m:r>
                <m:r>
                  <m:t> </m:t>
                </m:r>
                <m:r>
                  <m:t>t</m:t>
                </m:r>
                <m:r>
                  <m:rPr>
                    <m:sty m:val="p"/>
                  </m:rPr>
                  <m:t>∈</m:t>
                </m:r>
                <m:r>
                  <m:rPr>
                    <m:scr m:val="double-struck"/>
                    <m:sty m:val="p"/>
                  </m:rPr>
                  <m:t>R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Here</w:t>
            </w:r>
            <w:r>
              <w:t xml:space="preserve"> </w:t>
            </w:r>
            <m:oMath>
              <m:r>
                <m:t>I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the indicator function:</w:t>
            </w:r>
            <w:r>
              <w:t xml:space="preserve"> </w:t>
            </w:r>
            <m:oMath>
              <m:r>
                <m:t>I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holds,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I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otherwise.</w:t>
            </w:r>
          </w:p>
          <w:bookmarkEnd w:id="10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1" w:name="def-order-statistics"/>
          <w:p>
            <w:pPr>
              <w:pStyle w:val="BodyText"/>
            </w:pPr>
            <w:r>
              <w:rPr>
                <w:b/>
                <w:bCs/>
              </w:rPr>
              <w:t xml:space="preserve">Definition 2 (Order statistics)</w:t>
            </w:r>
            <w:r>
              <w:t xml:space="preserve"> </w:t>
            </w:r>
            <w:r>
              <w:t xml:space="preserve">For observed values</w:t>
            </w:r>
            <w:r>
              <w:t xml:space="preserve"> </w:t>
            </w:r>
            <m:oMath>
              <m:sSub>
                <m:e>
                  <m:r>
                    <m:t>x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x</m:t>
                  </m:r>
                </m:e>
                <m:sub>
                  <m:r>
                    <m:t>n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the order statistics are the sorted values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x</m:t>
                    </m:r>
                  </m:e>
                  <m:sub>
                    <m:r>
                      <m:rPr>
                        <m:sty m:val="p"/>
                      </m:rPr>
                      <m:t>(</m:t>
                    </m:r>
                    <m:r>
                      <m:t>1</m:t>
                    </m:r>
                    <m:r>
                      <m:rPr>
                        <m:sty m:val="p"/>
                      </m:rPr>
                      <m:t>)</m:t>
                    </m:r>
                  </m:sub>
                </m:sSub>
                <m:r>
                  <m:rPr>
                    <m:sty m:val="p"/>
                  </m:rPr>
                  <m:t>≤</m:t>
                </m:r>
                <m:sSub>
                  <m:e>
                    <m:r>
                      <m:t>x</m:t>
                    </m:r>
                  </m:e>
                  <m:sub>
                    <m:r>
                      <m:rPr>
                        <m:sty m:val="p"/>
                      </m:rPr>
                      <m:t>(</m:t>
                    </m:r>
                    <m:r>
                      <m:t>2</m:t>
                    </m:r>
                    <m:r>
                      <m:rPr>
                        <m:sty m:val="p"/>
                      </m:rPr>
                      <m:t>)</m:t>
                    </m:r>
                  </m:sub>
                </m:sSub>
                <m:r>
                  <m:rPr>
                    <m:sty m:val="p"/>
                  </m:rPr>
                  <m:t>≤</m:t>
                </m:r>
                <m:r>
                  <m:rPr>
                    <m:sty m:val="p"/>
                  </m:rPr>
                  <m:t>⋯</m:t>
                </m:r>
                <m:r>
                  <m:rPr>
                    <m:sty m:val="p"/>
                  </m:rPr>
                  <m:t>≤</m:t>
                </m:r>
                <m:sSub>
                  <m:e>
                    <m:r>
                      <m:t>x</m:t>
                    </m:r>
                  </m:e>
                  <m:sub>
                    <m:r>
                      <m:rPr>
                        <m:sty m:val="p"/>
                      </m:rPr>
                      <m:t>(</m:t>
                    </m:r>
                    <m:r>
                      <m:t>n</m:t>
                    </m:r>
                    <m:r>
                      <m:rPr>
                        <m:sty m:val="p"/>
                      </m:rPr>
                      <m:t>)</m:t>
                    </m:r>
                  </m:sub>
                </m:sSub>
                <m:r>
                  <m:rPr>
                    <m:sty m:val="p"/>
                  </m:rPr>
                  <m:t>.</m:t>
                </m:r>
              </m:oMath>
            </m:oMathPara>
          </w:p>
          <w:bookmarkEnd w:id="11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12" w:name="exm-order-statistics"/>
          <w:p>
            <w:pPr>
              <w:pStyle w:val="BodyText"/>
            </w:pPr>
            <w:r>
              <w:rPr>
                <w:b/>
                <w:bCs/>
              </w:rPr>
              <w:t xml:space="preserve">Example 1 (Numerical example: order statistics)</w:t>
            </w:r>
            <w:r>
              <w:t xml:space="preserve"> </w:t>
            </w:r>
            <w:r>
              <w:t xml:space="preserve">If the observed values are</w:t>
            </w:r>
            <w:r>
              <w:t xml:space="preserve"> </w:t>
            </w:r>
            <m:oMath>
              <m:r>
                <m:t>4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7</m:t>
              </m:r>
              <m:r>
                <m:rPr>
                  <m:sty m:val="p"/>
                </m:rPr>
                <m:t>,</m:t>
              </m:r>
              <m:r>
                <m:t>3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then the order statistics are</w:t>
            </w:r>
            <w:r>
              <w:t xml:space="preserve"> </w:t>
            </w:r>
            <m:oMath>
              <m:sSub>
                <m:e>
                  <m:r>
                    <m:t>x</m:t>
                  </m:r>
                </m:e>
                <m:sub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x</m:t>
                  </m:r>
                </m:e>
                <m:sub>
                  <m:r>
                    <m:rPr>
                      <m:sty m:val="p"/>
                    </m:rPr>
                    <m:t>(</m:t>
                  </m:r>
                  <m:r>
                    <m:t>2</m:t>
                  </m:r>
                  <m:r>
                    <m:rPr>
                      <m:sty m:val="p"/>
                    </m:rPr>
                    <m:t>)</m:t>
                  </m:r>
                </m:sub>
              </m:sSub>
              <m:r>
                <m:rPr>
                  <m:sty m:val="p"/>
                </m:rPr>
                <m:t>=</m:t>
              </m:r>
              <m:r>
                <m:t>3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x</m:t>
                  </m:r>
                </m:e>
                <m:sub>
                  <m:r>
                    <m:rPr>
                      <m:sty m:val="p"/>
                    </m:rPr>
                    <m:t>(</m:t>
                  </m:r>
                  <m:r>
                    <m:t>3</m:t>
                  </m:r>
                  <m:r>
                    <m:rPr>
                      <m:sty m:val="p"/>
                    </m:rPr>
                    <m:t>)</m:t>
                  </m:r>
                </m:sub>
              </m:sSub>
              <m:r>
                <m:rPr>
                  <m:sty m:val="p"/>
                </m:rPr>
                <m:t>=</m:t>
              </m:r>
              <m:r>
                <m:t>4</m:t>
              </m:r>
            </m:oMath>
            <w:r>
              <w:t xml:space="preserve">, and</w:t>
            </w:r>
            <w:r>
              <w:t xml:space="preserve"> </w:t>
            </w:r>
            <m:oMath>
              <m:sSub>
                <m:e>
                  <m:r>
                    <m:t>x</m:t>
                  </m:r>
                </m:e>
                <m:sub>
                  <m:r>
                    <m:rPr>
                      <m:sty m:val="p"/>
                    </m:rPr>
                    <m:t>(</m:t>
                  </m:r>
                  <m:r>
                    <m:t>4</m:t>
                  </m:r>
                  <m:r>
                    <m:rPr>
                      <m:sty m:val="p"/>
                    </m:rPr>
                    <m:t>)</m:t>
                  </m:r>
                </m:sub>
              </m:sSub>
              <m:r>
                <m:rPr>
                  <m:sty m:val="p"/>
                </m:rPr>
                <m:t>=</m:t>
              </m:r>
              <m:r>
                <m:t>7</m:t>
              </m:r>
            </m:oMath>
            <w:r>
              <w:t xml:space="preserve">.</w:t>
            </w:r>
          </w:p>
          <w:bookmarkEnd w:id="12"/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3" w:name="def-sample-quantile"/>
          <w:p>
            <w:pPr>
              <w:pStyle w:val="BodyText"/>
            </w:pPr>
            <w:r>
              <w:rPr>
                <w:b/>
                <w:bCs/>
              </w:rPr>
              <w:t xml:space="preserve">Definition 3 (Sample quantile)</w:t>
            </w:r>
            <w:r>
              <w:t xml:space="preserve"> </w:t>
            </w:r>
            <w:r>
              <w:t xml:space="preserve">Given</w:t>
            </w:r>
            <w:r>
              <w:t xml:space="preserve"> </w:t>
            </w:r>
            <w:hyperlink w:anchor="def-empirical-cdf">
              <w:r>
                <w:rPr>
                  <w:rStyle w:val="Hyperlink"/>
                </w:rPr>
                <w:t xml:space="preserve">empirical CDF</w:t>
              </w:r>
            </w:hyperlink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F</m:t>
                  </m:r>
                </m:e>
              </m:acc>
            </m:oMath>
            <w:r>
              <w:t xml:space="preserve">,</w:t>
            </w:r>
            <w:r>
              <w:t xml:space="preserve"> </w:t>
            </w:r>
            <w:r>
              <w:t xml:space="preserve">the sample quantile function (EQF)</w:t>
            </w:r>
            <w:r>
              <w:t xml:space="preserve"> </w:t>
            </w:r>
            <w:r>
              <w:t xml:space="preserve">(the generalized inverse of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F</m:t>
                  </m:r>
                </m:e>
              </m:acc>
            </m:oMath>
            <w:r>
              <w:t xml:space="preserve">)</w:t>
            </w:r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acc>
                  <m:accPr>
                    <m:chr m:val="̂"/>
                  </m:accPr>
                  <m:e>
                    <m:r>
                      <m:t>Q</m:t>
                    </m:r>
                  </m:e>
                </m:acc>
                <m:r>
                  <m:rPr>
                    <m:sty m:val="p"/>
                  </m:rPr>
                  <m:t>(</m:t>
                </m:r>
                <m:r>
                  <m:t>p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inf</m:t>
                </m:r>
                <m:r>
                  <m:rPr>
                    <m:sty m:val="p"/>
                  </m:rPr>
                  <m:t>{</m:t>
                </m:r>
                <m:r>
                  <m:t>t</m:t>
                </m:r>
                <m:r>
                  <m:rPr>
                    <m:sty m:val="p"/>
                  </m:rPr>
                  <m:t>:</m:t>
                </m:r>
                <m:acc>
                  <m:accPr>
                    <m:chr m:val="̂"/>
                  </m:accPr>
                  <m:e>
                    <m:r>
                      <m:t>F</m:t>
                    </m:r>
                  </m:e>
                </m:acc>
                <m:r>
                  <m:rPr>
                    <m:sty m:val="p"/>
                  </m:rPr>
                  <m:t>(</m:t>
                </m:r>
                <m:r>
                  <m:t>t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≥</m:t>
                </m:r>
                <m:r>
                  <m:t>p</m:t>
                </m:r>
                <m:r>
                  <m:rPr>
                    <m:sty m:val="p"/>
                  </m:rPr>
                  <m:t>}</m:t>
                </m:r>
                <m:r>
                  <m:rPr>
                    <m:sty m:val="p"/>
                  </m:rPr>
                  <m:t>,</m:t>
                </m:r>
                <m:r>
                  <m:t> </m:t>
                </m:r>
                <m:r>
                  <m:t>0</m:t>
                </m:r>
                <m:r>
                  <m:rPr>
                    <m:sty m:val="p"/>
                  </m:rPr>
                  <m:t>&lt;</m:t>
                </m:r>
                <m:r>
                  <m:t>p</m:t>
                </m:r>
                <m:r>
                  <m:rPr>
                    <m:sty m:val="p"/>
                  </m:rPr>
                  <m:t>≤</m:t>
                </m:r>
                <m:r>
                  <m:t>1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13"/>
        </w:tc>
      </w:tr>
    </w:tbl>
    <w:p>
      <w:pPr>
        <w:pStyle w:val="FirstParagraph"/>
      </w:pPr>
      <w:r>
        <w:t xml:space="preserve">The</w:t>
      </w:r>
      <w:r>
        <w:t xml:space="preserve"> </w:t>
      </w:r>
      <w:hyperlink r:id="rId14">
        <w:r>
          <w:rPr>
            <w:rStyle w:val="Hyperlink"/>
          </w:rPr>
          <w:t xml:space="preserve">CDF</w:t>
        </w:r>
      </w:hyperlink>
      <w:r>
        <w:t xml:space="preserve"> </w:t>
      </w:r>
      <m:oMath>
        <m:r>
          <m:t>F</m:t>
        </m:r>
      </m:oMath>
      <w:r>
        <w:t xml:space="preserve"> </w:t>
      </w:r>
      <w:r>
        <w:t xml:space="preserve">and</w:t>
      </w:r>
      <w:r>
        <w:t xml:space="preserve"> </w:t>
      </w:r>
      <w:hyperlink r:id="rId15">
        <w:r>
          <w:rPr>
            <w:rStyle w:val="Hyperlink"/>
          </w:rPr>
          <w:t xml:space="preserve">quantile function</w:t>
        </w:r>
      </w:hyperlink>
      <w:r>
        <w:t xml:space="preserve"> </w:t>
      </w:r>
      <m:oMath>
        <m:r>
          <m:t>Q</m:t>
        </m:r>
      </m:oMath>
      <w:r>
        <w:t xml:space="preserve"> </w:t>
      </w:r>
      <w:r>
        <w:t xml:space="preserve">are population-level functions,</w:t>
      </w:r>
      <w:r>
        <w:t xml:space="preserve"> </w:t>
      </w:r>
      <w:r>
        <w:t xml:space="preserve">while</w:t>
      </w:r>
      <w:r>
        <w:t xml:space="preserve"> </w:t>
      </w:r>
      <m:oMath>
        <m:acc>
          <m:accPr>
            <m:chr m:val="̂"/>
          </m:accPr>
          <m:e>
            <m:r>
              <m:t>F</m:t>
            </m:r>
          </m:e>
        </m:acc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̂"/>
          </m:accPr>
          <m:e>
            <m:r>
              <m:t>Q</m:t>
            </m:r>
          </m:e>
        </m:acc>
      </m:oMath>
      <w:r>
        <w:t xml:space="preserve"> </w:t>
      </w:r>
      <w:r>
        <w:t xml:space="preserve">are sample-based estimates of them.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6" w:name="thm-sample-quantile-order-statistics"/>
          <w:p>
            <w:pPr>
              <w:pStyle w:val="BodyText"/>
            </w:pPr>
            <w:r>
              <w:rPr>
                <w:b/>
                <w:bCs/>
              </w:rPr>
              <w:t xml:space="preserve">Theorem 1 (Order-statistics form of the sample quantile)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sSub>
                <m:e>
                  <m:r>
                    <m:t>x</m:t>
                  </m:r>
                </m:e>
                <m:sub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</m:sub>
              </m:sSub>
              <m:r>
                <m:rPr>
                  <m:sty m:val="p"/>
                </m:rPr>
                <m:t>≤</m:t>
              </m:r>
              <m:r>
                <m:rPr>
                  <m:sty m:val="p"/>
                </m:rPr>
                <m:t>⋯</m:t>
              </m:r>
              <m:r>
                <m:rPr>
                  <m:sty m:val="p"/>
                </m:rPr>
                <m:t>≤</m:t>
              </m:r>
              <m:sSub>
                <m:e>
                  <m:r>
                    <m:t>x</m:t>
                  </m:r>
                </m:e>
                <m:sub>
                  <m:r>
                    <m:rPr>
                      <m:sty m:val="p"/>
                    </m:rPr>
                    <m:t>(</m:t>
                  </m:r>
                  <m:r>
                    <m:t>n</m:t>
                  </m:r>
                  <m:r>
                    <m:rPr>
                      <m:sty m:val="p"/>
                    </m:rPr>
                    <m:t>)</m:t>
                  </m:r>
                </m:sub>
              </m:sSub>
            </m:oMath>
            <w:r>
              <w:t xml:space="preserve"> </w:t>
            </w:r>
            <w:r>
              <w:t xml:space="preserve">are the order statistics,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Q</m:t>
                  </m:r>
                </m:e>
              </m:acc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b>
                <m:e>
                  <m:r>
                    <m:t>x</m:t>
                  </m:r>
                </m:e>
                <m:sub>
                  <m:r>
                    <m:rPr>
                      <m:sty m:val="p"/>
                    </m:rPr>
                    <m:t>(</m:t>
                  </m:r>
                  <m:r>
                    <m:t>i</m:t>
                  </m:r>
                  <m:r>
                    <m:rPr>
                      <m:sty m:val="p"/>
                    </m:rPr>
                    <m:t>)</m:t>
                  </m:r>
                </m:sub>
              </m:sSub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p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(</m:t>
              </m:r>
              <m:r>
                <m:t>i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/</m:t>
              </m:r>
              <m:r>
                <m:t>n</m:t>
              </m:r>
              <m:r>
                <m:rPr>
                  <m:sty m:val="p"/>
                </m:rPr>
                <m:t>,</m:t>
              </m:r>
              <m:r>
                <m:t>i</m:t>
              </m:r>
              <m:r>
                <m:rPr>
                  <m:sty m:val="p"/>
                </m:rPr>
                <m:t>/</m:t>
              </m:r>
              <m:r>
                <m:t>n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In particular,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Q</m:t>
                  </m:r>
                </m:e>
              </m:acc>
              <m:r>
                <m:rPr>
                  <m:sty m:val="p"/>
                </m:rPr>
                <m:t>(</m:t>
              </m:r>
              <m:r>
                <m:t>i</m:t>
              </m:r>
              <m:r>
                <m:rPr>
                  <m:sty m:val="p"/>
                </m:rPr>
                <m:t>/</m:t>
              </m:r>
              <m:r>
                <m:t>n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b>
                <m:e>
                  <m:r>
                    <m:t>x</m:t>
                  </m:r>
                </m:e>
                <m:sub>
                  <m:r>
                    <m:rPr>
                      <m:sty m:val="p"/>
                    </m:rPr>
                    <m:t>(</m:t>
                  </m:r>
                  <m:r>
                    <m:t>i</m:t>
                  </m:r>
                  <m:r>
                    <m:rPr>
                      <m:sty m:val="p"/>
                    </m:rPr>
                    <m:t>)</m:t>
                  </m:r>
                </m:sub>
              </m:sSub>
            </m:oMath>
            <w:r>
              <w:t xml:space="preserve">.</w:t>
            </w:r>
          </w:p>
          <w:bookmarkEnd w:id="16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Exm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bookmarkStart w:id="17" w:name="exm-sample-quantile"/>
          <w:p>
            <w:pPr>
              <w:pStyle w:val="BodyText"/>
            </w:pPr>
            <w:r>
              <w:rPr>
                <w:b/>
                <w:bCs/>
              </w:rPr>
              <w:t xml:space="preserve">Example 2 (Numerical example: sample quantiles)</w:t>
            </w:r>
            <w:r>
              <w:t xml:space="preserve"> </w:t>
            </w:r>
            <w:r>
              <w:t xml:space="preserve">Using the same data</w:t>
            </w:r>
            <w:r>
              <w:t xml:space="preserve"> </w:t>
            </w:r>
            <m:oMath>
              <m:r>
                <m:t>4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7</m:t>
              </m:r>
              <m:r>
                <m:rPr>
                  <m:sty m:val="p"/>
                </m:rPr>
                <m:t>,</m:t>
              </m:r>
              <m:r>
                <m:t>3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with order statistics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,</m:t>
              </m:r>
              <m:r>
                <m:t>3</m:t>
              </m:r>
              <m:r>
                <m:rPr>
                  <m:sty m:val="p"/>
                </m:rPr>
                <m:t>,</m:t>
              </m:r>
              <m:r>
                <m:t>4</m:t>
              </m:r>
              <m:r>
                <m:rPr>
                  <m:sty m:val="p"/>
                </m:rPr>
                <m:t>,</m:t>
              </m:r>
              <m:r>
                <m:t>7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sample quantile function is stepwise: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Q</m:t>
                  </m:r>
                </m:e>
              </m:acc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0</m:t>
              </m:r>
              <m:r>
                <m:rPr>
                  <m:sty m:val="p"/>
                </m:rPr>
                <m:t>&lt;</m:t>
              </m:r>
              <m:r>
                <m:t>p</m:t>
              </m:r>
              <m:r>
                <m:rPr>
                  <m:sty m:val="p"/>
                </m:rPr>
                <m:t>≤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4</m:t>
              </m:r>
            </m:oMath>
            <w:r>
              <w:t xml:space="preserve">,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Q</m:t>
                  </m:r>
                </m:e>
              </m:acc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3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/</m:t>
              </m:r>
              <m:r>
                <m:t>4</m:t>
              </m:r>
              <m:r>
                <m:rPr>
                  <m:sty m:val="p"/>
                </m:rPr>
                <m:t>&lt;</m:t>
              </m:r>
              <m:r>
                <m:t>p</m:t>
              </m:r>
              <m:r>
                <m:rPr>
                  <m:sty m:val="p"/>
                </m:rPr>
                <m:t>≤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2</m:t>
              </m:r>
            </m:oMath>
            <w:r>
              <w:t xml:space="preserve">,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Q</m:t>
                  </m:r>
                </m:e>
              </m:acc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4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/</m:t>
              </m:r>
              <m:r>
                <m:t>2</m:t>
              </m:r>
              <m:r>
                <m:rPr>
                  <m:sty m:val="p"/>
                </m:rPr>
                <m:t>&lt;</m:t>
              </m:r>
              <m:r>
                <m:t>p</m:t>
              </m:r>
              <m:r>
                <m:rPr>
                  <m:sty m:val="p"/>
                </m:rPr>
                <m:t>≤</m:t>
              </m:r>
              <m:r>
                <m:t>3</m:t>
              </m:r>
              <m:r>
                <m:rPr>
                  <m:sty m:val="p"/>
                </m:rPr>
                <m:t>/</m:t>
              </m:r>
              <m:r>
                <m:t>4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Q</m:t>
                  </m:r>
                </m:e>
              </m:acc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7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3</m:t>
              </m:r>
              <m:r>
                <m:rPr>
                  <m:sty m:val="p"/>
                </m:rPr>
                <m:t>/</m:t>
              </m:r>
              <m:r>
                <m:t>4</m:t>
              </m:r>
              <m:r>
                <m:rPr>
                  <m:sty m:val="p"/>
                </m:rPr>
                <m:t>&lt;</m:t>
              </m:r>
              <m:r>
                <m:t>p</m:t>
              </m:r>
              <m:r>
                <m:rPr>
                  <m:sty m:val="p"/>
                </m:rPr>
                <m:t>≤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Q</m:t>
                  </m:r>
                </m:e>
              </m:acc>
              <m:r>
                <m:rPr>
                  <m:sty m:val="p"/>
                </m:rPr>
                <m:t>(</m:t>
              </m:r>
              <m:r>
                <m:t>0.5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3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Q</m:t>
                  </m:r>
                </m:e>
              </m:acc>
              <m:r>
                <m:rPr>
                  <m:sty m:val="p"/>
                </m:rPr>
                <m:t>(</m:t>
              </m:r>
              <m:r>
                <m:t>0.9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7</m:t>
              </m:r>
            </m:oMath>
            <w:r>
              <w:t xml:space="preserve">.</w:t>
            </w:r>
          </w:p>
          <w:bookmarkEnd w:id="17"/>
          <w:p/>
        </w:tc>
      </w:tr>
    </w:tbl>
    <w:p>
      <w:pPr>
        <w:pStyle w:val="SourceCode"/>
      </w:pPr>
      <w:r>
        <w:rPr>
          <w:rStyle w:val="NormalTok"/>
        </w:rPr>
        <w:t xml:space="preserve">x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4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n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length</w:t>
      </w:r>
      <w:r>
        <w:rPr>
          <w:rStyle w:val="NormalTok"/>
        </w:rPr>
        <w:t xml:space="preserve">(x)</w:t>
      </w:r>
      <w:r>
        <w:br/>
      </w:r>
      <w:r>
        <w:rPr>
          <w:rStyle w:val="NormalTok"/>
        </w:rPr>
        <w:t xml:space="preserve">x_ord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sort</w:t>
      </w:r>
      <w:r>
        <w:rPr>
          <w:rStyle w:val="NormalTok"/>
        </w:rPr>
        <w:t xml:space="preserve">(x)</w:t>
      </w:r>
      <w:r>
        <w:br/>
      </w:r>
      <w:r>
        <w:rPr>
          <w:rStyle w:val="NormalTok"/>
        </w:rPr>
        <w:t xml:space="preserve">p_ord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seq_len</w:t>
      </w:r>
      <w:r>
        <w:rPr>
          <w:rStyle w:val="NormalTok"/>
        </w:rPr>
        <w:t xml:space="preserve">(n)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n</w:t>
      </w:r>
      <w:r>
        <w:br/>
      </w:r>
      <w:r>
        <w:rPr>
          <w:rStyle w:val="NormalTok"/>
        </w:rPr>
        <w:t xml:space="preserve">ecdf_x_padding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0.8</w:t>
      </w:r>
      <w:r>
        <w:br/>
      </w:r>
      <w:r>
        <w:rPr>
          <w:rStyle w:val="NormalTok"/>
        </w:rPr>
        <w:t xml:space="preserve">eqf_y_padding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0.5</w:t>
      </w:r>
      <w:r>
        <w:br/>
      </w:r>
      <w:r>
        <w:rPr>
          <w:rStyle w:val="NormalTok"/>
        </w:rPr>
        <w:t xml:space="preserve">x_min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min</w:t>
      </w:r>
      <w:r>
        <w:rPr>
          <w:rStyle w:val="NormalTok"/>
        </w:rPr>
        <w:t xml:space="preserve">(x_ord)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ecdf_x_padding</w:t>
      </w:r>
      <w:r>
        <w:br/>
      </w:r>
      <w:r>
        <w:rPr>
          <w:rStyle w:val="NormalTok"/>
        </w:rPr>
        <w:t xml:space="preserve">x_max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max</w:t>
      </w:r>
      <w:r>
        <w:rPr>
          <w:rStyle w:val="NormalTok"/>
        </w:rPr>
        <w:t xml:space="preserve">(x_ord)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ecdf_x_padding</w:t>
      </w:r>
      <w:r>
        <w:br/>
      </w:r>
      <w:r>
        <w:br/>
      </w:r>
      <w:r>
        <w:rPr>
          <w:rStyle w:val="NormalTok"/>
        </w:rPr>
        <w:t xml:space="preserve">x_left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(x_min, x_ord)</w:t>
      </w:r>
      <w:r>
        <w:br/>
      </w:r>
      <w:r>
        <w:rPr>
          <w:rStyle w:val="NormalTok"/>
        </w:rPr>
        <w:t xml:space="preserve">x_right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(x_ord, x_max)</w:t>
      </w:r>
      <w:r>
        <w:br/>
      </w:r>
      <w:r>
        <w:rPr>
          <w:rStyle w:val="NormalTok"/>
        </w:rPr>
        <w:t xml:space="preserve">f_levels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p_ord)</w:t>
      </w:r>
      <w:r>
        <w:br/>
      </w:r>
      <w:r>
        <w:br/>
      </w:r>
      <w:r>
        <w:rPr>
          <w:rStyle w:val="FunctionTok"/>
        </w:rPr>
        <w:t xml:space="preserve">plot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type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xlim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(x_min, x_max),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ylim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FloatTok"/>
        </w:rPr>
        <w:t xml:space="preserve">1.05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xlab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ylab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expression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hat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plain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"F"</w:t>
      </w:r>
      <w:r>
        <w:rPr>
          <w:rStyle w:val="NormalTok"/>
        </w:rPr>
        <w:t xml:space="preserve">))(t))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segments</w:t>
      </w:r>
      <w:r>
        <w:rPr>
          <w:rStyle w:val="NormalTok"/>
        </w:rPr>
        <w:t xml:space="preserve">(x_left, f_levels, x_right, f_levels, </w:t>
      </w:r>
      <w:r>
        <w:rPr>
          <w:rStyle w:val="AttributeTok"/>
        </w:rPr>
        <w:t xml:space="preserve">lwd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col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"blue"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points</w:t>
      </w:r>
      <w:r>
        <w:rPr>
          <w:rStyle w:val="NormalTok"/>
        </w:rPr>
        <w:t xml:space="preserve">(x_ord, f_levels[</w:t>
      </w:r>
      <w:r>
        <w:rPr>
          <w:rStyle w:val="FunctionTok"/>
        </w:rPr>
        <w:t xml:space="preserve">seq_len</w:t>
      </w:r>
      <w:r>
        <w:rPr>
          <w:rStyle w:val="NormalTok"/>
        </w:rPr>
        <w:t xml:space="preserve">(n)], </w:t>
      </w:r>
      <w:r>
        <w:rPr>
          <w:rStyle w:val="AttributeTok"/>
        </w:rPr>
        <w:t xml:space="preserve">pch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col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"blue"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points</w:t>
      </w:r>
      <w:r>
        <w:rPr>
          <w:rStyle w:val="NormalTok"/>
        </w:rPr>
        <w:t xml:space="preserve">(x_ord, f_levels[</w:t>
      </w:r>
      <w:r>
        <w:rPr>
          <w:rStyle w:val="FunctionTok"/>
        </w:rPr>
        <w:t xml:space="preserve">seq_len</w:t>
      </w:r>
      <w:r>
        <w:rPr>
          <w:rStyle w:val="NormalTok"/>
        </w:rPr>
        <w:t xml:space="preserve">(n)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], </w:t>
      </w:r>
      <w:r>
        <w:rPr>
          <w:rStyle w:val="AttributeTok"/>
        </w:rPr>
        <w:t xml:space="preserve">pch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col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"blue"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NormalTok"/>
        </w:rPr>
        <w:t xml:space="preserve">q_left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p_ord[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n])</w:t>
      </w:r>
      <w:r>
        <w:br/>
      </w:r>
      <w:r>
        <w:rPr>
          <w:rStyle w:val="NormalTok"/>
        </w:rPr>
        <w:t xml:space="preserve">q_right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p_ord</w:t>
      </w:r>
      <w:r>
        <w:br/>
      </w:r>
      <w:r>
        <w:rPr>
          <w:rStyle w:val="FunctionTok"/>
        </w:rPr>
        <w:t xml:space="preserve">plot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type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"n"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xlim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ylim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min</w:t>
      </w:r>
      <w:r>
        <w:rPr>
          <w:rStyle w:val="NormalTok"/>
        </w:rPr>
        <w:t xml:space="preserve">(x_ord)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eqf_y_padding, </w:t>
      </w:r>
      <w:r>
        <w:rPr>
          <w:rStyle w:val="FunctionTok"/>
        </w:rPr>
        <w:t xml:space="preserve">max</w:t>
      </w:r>
      <w:r>
        <w:rPr>
          <w:rStyle w:val="NormalTok"/>
        </w:rPr>
        <w:t xml:space="preserve">(x_ord)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eqf_y_padding),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xlab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ylab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expression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hat</w:t>
      </w:r>
      <w:r>
        <w:rPr>
          <w:rStyle w:val="NormalTok"/>
        </w:rPr>
        <w:t xml:space="preserve">(Q)(p))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segments</w:t>
      </w:r>
      <w:r>
        <w:rPr>
          <w:rStyle w:val="NormalTok"/>
        </w:rPr>
        <w:t xml:space="preserve">(q_left, x_ord, q_right, x_ord, </w:t>
      </w:r>
      <w:r>
        <w:rPr>
          <w:rStyle w:val="AttributeTok"/>
        </w:rPr>
        <w:t xml:space="preserve">lwd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col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"blue"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points</w:t>
      </w:r>
      <w:r>
        <w:rPr>
          <w:rStyle w:val="NormalTok"/>
        </w:rPr>
        <w:t xml:space="preserve">(q_left, x_ord, </w:t>
      </w:r>
      <w:r>
        <w:rPr>
          <w:rStyle w:val="AttributeTok"/>
        </w:rPr>
        <w:t xml:space="preserve">pch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col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"blue"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points</w:t>
      </w:r>
      <w:r>
        <w:rPr>
          <w:rStyle w:val="NormalTok"/>
        </w:rPr>
        <w:t xml:space="preserve">(q_right, x_ord, </w:t>
      </w:r>
      <w:r>
        <w:rPr>
          <w:rStyle w:val="AttributeTok"/>
        </w:rPr>
        <w:t xml:space="preserve">pch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19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col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"blue"</w:t>
      </w:r>
      <w:r>
        <w:rPr>
          <w:rStyle w:val="NormalTok"/>
        </w:rPr>
        <w:t xml:space="preserve">)</w:t>
      </w:r>
    </w:p>
    <w:bookmarkStart w:id="26" w:name="fig-ecdf-sample-quantile-example"/>
    <w:tbl>
      <w:tblPr>
        <w:tblStyle w:val="Table"/>
        <w:tblW w:type="pct" w:w="4900"/>
        <w:tblLayout w:type="fixed"/>
        <w:tblLook w:firstRow="0" w:lastRow="0" w:firstColumn="0" w:lastColumn="0" w:noHBand="0" w:noVBand="0" w:val="0000"/>
      </w:tblPr>
      <w:tblGrid>
        <w:gridCol w:w="3880"/>
        <w:gridCol w:w="3880"/>
      </w:tblGrid>
      <w:tr>
        <w:tc>
          <w:tcPr/>
          <w:tbl>
            <w:tblPr>
              <w:tblStyle w:val="Table"/>
              <w:tblW w:type="pct" w:w="4900"/>
              <w:tblLayout w:type="fixed"/>
              <w:tblLook w:firstRow="0" w:lastRow="0" w:firstColumn="0" w:lastColumn="0" w:noHBand="0" w:noVBand="0" w:val="0000"/>
            </w:tblPr>
            <w:tblGrid>
              <w:gridCol w:w="7761"/>
            </w:tblGrid>
            <w:tr>
              <w:tc>
                <w:tcPr/>
                <w:bookmarkStart w:id="21" w:name="fig-ecdf-sample-quantile-example-1"/>
                <w:p>
                  <w:pPr>
                    <w:pStyle w:val="Compact"/>
                    <w:jc w:val="center"/>
                    <w:jc w:val="left"/>
                  </w:pPr>
                  <w:r>
                    <w:drawing>
                      <wp:inline>
                        <wp:extent cx="2971800" cy="2377440"/>
                        <wp:effectExtent b="0" l="0" r="0" t="0"/>
                        <wp:docPr descr="" title="" id="19" name="Picture"/>
                        <a:graphic>
                          <a:graphicData uri="http://schemas.openxmlformats.org/drawingml/2006/picture">
                            <pic:pic>
                              <pic:nvPicPr>
                                <pic:cNvPr descr="nonparametric-models_files/figure-docx/fig-ecdf-sample-quantile-example-1.png" id="20" name="Picture"/>
                                <pic:cNvPicPr>
                                  <a:picLocks noChangeArrowheads="1" noChangeAspect="1"/>
                                </pic:cNvPicPr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71800" cy="23774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jc w:val="left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(a) Empirical CDF horizontal pieces only. Closed circles mark included endpoints. Open circles mark excluded endpoints.</w:t>
                  </w:r>
                </w:p>
                <w:bookmarkEnd w:id="21"/>
              </w:tc>
            </w:tr>
          </w:tbl>
          <w:p/>
        </w:tc>
        <w:tc>
          <w:tcPr/>
          <w:tbl>
            <w:tblPr>
              <w:tblStyle w:val="Table"/>
              <w:tblW w:type="pct" w:w="4900"/>
              <w:tblLayout w:type="fixed"/>
              <w:tblLook w:firstRow="0" w:lastRow="0" w:firstColumn="0" w:lastColumn="0" w:noHBand="0" w:noVBand="0" w:val="0000"/>
            </w:tblPr>
            <w:tblGrid>
              <w:gridCol w:w="7761"/>
            </w:tblGrid>
            <w:tr>
              <w:tc>
                <w:tcPr/>
                <w:bookmarkStart w:id="25" w:name="fig-ecdf-sample-quantile-example-2"/>
                <w:p>
                  <w:pPr>
                    <w:pStyle w:val="Compact"/>
                    <w:jc w:val="center"/>
                    <w:jc w:val="left"/>
                  </w:pPr>
                  <w:r>
                    <w:drawing>
                      <wp:inline>
                        <wp:extent cx="2971800" cy="2377440"/>
                        <wp:effectExtent b="0" l="0" r="0" t="0"/>
                        <wp:docPr descr="" title="" id="23" name="Picture"/>
                        <a:graphic>
                          <a:graphicData uri="http://schemas.openxmlformats.org/drawingml/2006/picture">
                            <pic:pic>
                              <pic:nvPicPr>
                                <pic:cNvPr descr="nonparametric-models_files/figure-docx/fig-ecdf-sample-quantile-example-2.png" id="24" name="Picture"/>
                                <pic:cNvPicPr>
                                  <a:picLocks noChangeArrowheads="1" noChangeAspect="1"/>
                                </pic:cNvPicPr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71800" cy="23774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jc w:val="left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(b) Sample quantile function horizontal pieces only. Open circles mark excluded left endpoints. Closed circles mark included right endpoints.</w:t>
                  </w:r>
                </w:p>
                <w:bookmarkEnd w:id="25"/>
              </w:tc>
            </w:tr>
          </w:tbl>
          <w:p/>
        </w:tc>
      </w:tr>
    </w:tbl>
    <w:p>
      <w:pPr>
        <w:pStyle w:val="BodyText"/>
      </w:pPr>
      <w:pPr>
        <w:spacing w:before="200"/>
        <w:pStyle w:val="ImageCaption"/>
      </w:pPr>
      <w:r>
        <w:t xml:space="preserve">Figure 1: Relationship between the empirical CDF and sample quantiles for data 4, 1, 7, 3. (Order statistics are 1, 3, 4, 7.)</w:t>
      </w:r>
    </w:p>
    <w:bookmarkEnd w:id="26"/>
    <w:p>
      <w:pPr>
        <w:pStyle w:val="BodyText"/>
      </w:pPr>
      <w:r>
        <w:t xml:space="preserve">Because both functions are step functions,</w:t>
      </w:r>
      <w:r>
        <w:t xml:space="preserve"> </w:t>
      </w:r>
      <w:r>
        <w:t xml:space="preserve">they are not one-to-one.</w:t>
      </w:r>
      <w:r>
        <w:t xml:space="preserve"> </w:t>
      </w:r>
      <w:r>
        <w:t xml:space="preserve">Flat regions in one function map many inputs to the same output,</w:t>
      </w:r>
      <w:r>
        <w:t xml:space="preserve"> </w:t>
      </w:r>
      <w:r>
        <w:t xml:space="preserve">and jump points in one correspond to intervals in the other.</w:t>
      </w:r>
      <w:r>
        <w:t xml:space="preserve"> </w:t>
      </w:r>
      <w:r>
        <w:t xml:space="preserve">So they are generalized inverses rather than exact two-sided inverses.</w:t>
      </w:r>
    </w:p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" Target="media/rId18.png" /><Relationship Type="http://schemas.openxmlformats.org/officeDocument/2006/relationships/image" Id="rId22" Target="media/rId22.png" /><Relationship Type="http://schemas.openxmlformats.org/officeDocument/2006/relationships/hyperlink" Id="rId14" Target="probability.qmd#def-cdf" TargetMode="External" /><Relationship Type="http://schemas.openxmlformats.org/officeDocument/2006/relationships/hyperlink" Id="rId15" Target="probability.qmd#def-quantile-func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probability.qmd#def-cdf" TargetMode="External" /><Relationship Type="http://schemas.openxmlformats.org/officeDocument/2006/relationships/hyperlink" Id="rId15" Target="probability.qmd#def-quantile-func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Nonparametric Models</dc:title>
  <dc:creator/>
  <cp:keywords/>
  <dcterms:created xsi:type="dcterms:W3CDTF">2026-09-29T07:29:55Z</dcterms:created>
  <dcterms:modified xsi:type="dcterms:W3CDTF">2026-09-29T07:29:55Z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omments">
    <vt:lpwstr/>
  </property>
  <property fmtid="{D5CDD505-2E9C-101B-9397-08002B2CF9AE}" pid="6" name="crossref">
    <vt:lpwstr/>
  </property>
  <property fmtid="{D5CDD505-2E9C-101B-9397-08002B2CF9AE}" pid="7" name="custom-callout">
    <vt:lpwstr/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