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Generalized Linear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section is primarily adapted starting from the textbook</w:t>
      </w:r>
      <w:r>
        <w:t xml:space="preserve"> </w:t>
      </w:r>
      <w:r>
        <w:t xml:space="preserve">“An Introduction to Generalized Linear Models”</w:t>
      </w:r>
      <w:r>
        <w:t xml:space="preserve"> </w:t>
      </w:r>
      <w:r>
        <w:t xml:space="preserve">(4th edition, 2018)</w:t>
      </w:r>
      <w:r>
        <w:t xml:space="preserve"> </w:t>
      </w:r>
      <w:r>
        <w:t xml:space="preserve">by Annette J. Dobson and Adrian G. Barnett:</w:t>
      </w:r>
    </w:p>
    <w:p>
      <w:pPr>
        <w:pStyle w:val="BodyText"/>
      </w:pPr>
      <w:hyperlink r:id="rId9">
        <w:r>
          <w:rPr>
            <w:rStyle w:val="Hyperlink"/>
          </w:rPr>
          <w:t xml:space="preserve">https://doi.org/10.1201/9781315182780</w:t>
        </w:r>
      </w:hyperlink>
    </w:p>
    <w:bookmarkStart w:id="11" w:name="the-model-fitting-process"/>
    <w:p>
      <w:pPr>
        <w:pStyle w:val="Heading1"/>
      </w:pPr>
      <w:r>
        <w:t xml:space="preserve">1. The model fitting process</w:t>
      </w:r>
    </w:p>
    <w:p>
      <w:pPr>
        <w:pStyle w:val="FirstParagraph"/>
      </w:pPr>
      <w:r>
        <w:t xml:space="preserve">Dobson and Barnett (2018, sec. 2.1)</w:t>
      </w:r>
      <w:r>
        <w:t xml:space="preserve"> </w:t>
      </w:r>
      <w:r>
        <w:t xml:space="preserve">describes the model fitting process as follows:</w:t>
      </w:r>
    </w:p>
    <w:p>
      <w:pPr>
        <w:pStyle w:val="BlockText"/>
      </w:pPr>
      <w:r>
        <w:t xml:space="preserve">The model fitting process described in this book involves four steps:</w:t>
      </w:r>
    </w:p>
    <w:p>
      <w:pPr>
        <w:pStyle w:val="BlockText"/>
        <w:numPr>
          <w:ilvl w:val="0"/>
          <w:numId w:val="1001"/>
        </w:numPr>
      </w:pPr>
      <w:r>
        <w:t xml:space="preserve">Model specification—a model is specified in two parts:</w:t>
      </w:r>
      <w:r>
        <w:t xml:space="preserve"> </w:t>
      </w:r>
      <w:r>
        <w:t xml:space="preserve">an equation linking the response and explanatory variables</w:t>
      </w:r>
      <w:r>
        <w:t xml:space="preserve"> </w:t>
      </w:r>
      <w:r>
        <w:t xml:space="preserve">and the probability distribution of the response variable.</w:t>
      </w:r>
    </w:p>
    <w:p>
      <w:pPr>
        <w:pStyle w:val="BlockText"/>
        <w:numPr>
          <w:ilvl w:val="0"/>
          <w:numId w:val="1001"/>
        </w:numPr>
      </w:pPr>
      <w:r>
        <w:t xml:space="preserve">Estimation of the parameters of the model.</w:t>
      </w:r>
    </w:p>
    <w:p>
      <w:pPr>
        <w:pStyle w:val="BlockText"/>
        <w:numPr>
          <w:ilvl w:val="0"/>
          <w:numId w:val="1001"/>
        </w:numPr>
      </w:pPr>
      <w:r>
        <w:t xml:space="preserve">Checking the adequacy of the model—how well it fits or summarizes the data.</w:t>
      </w:r>
    </w:p>
    <w:p>
      <w:pPr>
        <w:pStyle w:val="BlockText"/>
        <w:numPr>
          <w:ilvl w:val="0"/>
          <w:numId w:val="1001"/>
        </w:numPr>
      </w:pPr>
      <w:r>
        <w:t xml:space="preserve">Inference—for classical or frequentist inference</w:t>
      </w:r>
      <w:r>
        <w:t xml:space="preserve"> </w:t>
      </w:r>
      <w:r>
        <w:t xml:space="preserve">this involves calculating confidence intervals,</w:t>
      </w:r>
      <w:r>
        <w:t xml:space="preserve"> </w:t>
      </w:r>
      <w:r>
        <w:t xml:space="preserve">testing hypotheses about the parameters in the model</w:t>
      </w:r>
      <w:r>
        <w:t xml:space="preserve"> </w:t>
      </w:r>
      <w:r>
        <w:t xml:space="preserve">and interpreting the results.</w:t>
      </w:r>
    </w:p>
    <w:p>
      <w:pPr>
        <w:pStyle w:val="FirstParagraph"/>
      </w:pPr>
      <w:r>
        <w:t xml:space="preserve">Note that</w:t>
      </w:r>
      <w:r>
        <w:t xml:space="preserve"> </w:t>
      </w:r>
      <w:r>
        <w:t xml:space="preserve">Dobson and Barnett (2018)</w:t>
      </w:r>
      <w:r>
        <w:t xml:space="preserve"> </w:t>
      </w:r>
      <w:r>
        <w:t xml:space="preserve">omits exploratory data analysis (EDA) from this initial list,</w:t>
      </w:r>
      <w:r>
        <w:t xml:space="preserve"> </w:t>
      </w:r>
      <w:r>
        <w:t xml:space="preserve">but describes it later as an important preliminary step (</w:t>
      </w:r>
      <w:r>
        <w:t xml:space="preserve">Dobson and Barnett (2018, sec. 2.3.1)</w:t>
      </w:r>
      <w:r>
        <w:t xml:space="preserve">).</w:t>
      </w:r>
      <w:r>
        <w:t xml:space="preserve"> </w:t>
      </w:r>
      <w:r>
        <w:t xml:space="preserve">We will treat EDA as a</w:t>
      </w:r>
      <w:r>
        <w:t xml:space="preserve"> </w:t>
      </w:r>
      <w:r>
        <w:t xml:space="preserve">“step 0”</w:t>
      </w:r>
      <w:r>
        <w:t xml:space="preserve"> </w:t>
      </w:r>
      <w:r>
        <w:t xml:space="preserve">that precedes these four steps.</w:t>
      </w:r>
    </w:p>
    <w:bookmarkStart w:id="10" w:name="step-0-exploratory-data-analysis"/>
    <w:p>
      <w:pPr>
        <w:pStyle w:val="Heading2"/>
      </w:pPr>
      <w:r>
        <w:t xml:space="preserve">1.1 Step 0: Exploratory data analysis</w:t>
      </w:r>
    </w:p>
    <w:p>
      <w:pPr>
        <w:pStyle w:val="FirstParagraph"/>
      </w:pPr>
      <w:r>
        <w:t xml:space="preserve">Dobson and Barnett (2018, sec. 2.3.1)</w:t>
      </w:r>
      <w:r>
        <w:t xml:space="preserve">:</w:t>
      </w:r>
    </w:p>
    <w:p>
      <w:pPr>
        <w:pStyle w:val="BlockText"/>
      </w:pPr>
      <w:r>
        <w:t xml:space="preserve">Any analysis of data should begin with a consideration of each variable</w:t>
      </w:r>
      <w:r>
        <w:t xml:space="preserve"> </w:t>
      </w:r>
      <w:r>
        <w:t xml:space="preserve">separately,</w:t>
      </w:r>
      <w:r>
        <w:t xml:space="preserve"> </w:t>
      </w:r>
      <w:r>
        <w:t xml:space="preserve">both to check on data quality</w:t>
      </w:r>
      <w:r>
        <w:t xml:space="preserve"> </w:t>
      </w:r>
      <w:r>
        <w:t xml:space="preserve">(for example, are the values plausible?)</w:t>
      </w:r>
      <w:r>
        <w:t xml:space="preserve"> </w:t>
      </w:r>
      <w:r>
        <w:t xml:space="preserve">and to help with model formulation.</w:t>
      </w:r>
    </w:p>
    <w:p>
      <w:pPr>
        <w:pStyle w:val="BlockText"/>
        <w:numPr>
          <w:ilvl w:val="0"/>
          <w:numId w:val="1002"/>
        </w:numPr>
      </w:pPr>
      <w:r>
        <w:t xml:space="preserve">What is the scale of measurement?</w:t>
      </w:r>
      <w:r>
        <w:t xml:space="preserve"> </w:t>
      </w:r>
      <w:r>
        <w:t xml:space="preserve">Is it continuous or categorical?</w:t>
      </w:r>
      <w:r>
        <w:t xml:space="preserve"> </w:t>
      </w:r>
      <w:r>
        <w:t xml:space="preserve">If it is categorical,</w:t>
      </w:r>
      <w:r>
        <w:t xml:space="preserve"> </w:t>
      </w:r>
      <w:r>
        <w:t xml:space="preserve">how many categories does it have</w:t>
      </w:r>
      <w:r>
        <w:t xml:space="preserve"> </w:t>
      </w:r>
      <w:r>
        <w:t xml:space="preserve">and are they nominal or ordinal?</w:t>
      </w:r>
    </w:p>
    <w:p>
      <w:pPr>
        <w:pStyle w:val="BlockText"/>
        <w:numPr>
          <w:ilvl w:val="0"/>
          <w:numId w:val="1002"/>
        </w:numPr>
      </w:pPr>
      <w:r>
        <w:t xml:space="preserve">What is the shape of the distribution?</w:t>
      </w:r>
      <w:r>
        <w:t xml:space="preserve"> </w:t>
      </w:r>
      <w:r>
        <w:t xml:space="preserve">This shape can be examined using frequency tables,</w:t>
      </w:r>
      <w:r>
        <w:t xml:space="preserve"> </w:t>
      </w:r>
      <w:r>
        <w:t xml:space="preserve">dot plots,</w:t>
      </w:r>
      <w:r>
        <w:t xml:space="preserve"> </w:t>
      </w:r>
      <w:r>
        <w:t xml:space="preserve">histograms</w:t>
      </w:r>
      <w:r>
        <w:t xml:space="preserve"> </w:t>
      </w:r>
      <w:r>
        <w:t xml:space="preserve">and other graphical methods.</w:t>
      </w:r>
    </w:p>
    <w:p>
      <w:pPr>
        <w:pStyle w:val="BlockText"/>
        <w:numPr>
          <w:ilvl w:val="0"/>
          <w:numId w:val="1002"/>
        </w:numPr>
      </w:pPr>
      <w:r>
        <w:t xml:space="preserve">How is it associated with other variables?</w:t>
      </w:r>
      <w:r>
        <w:t xml:space="preserve"> </w:t>
      </w:r>
      <w:r>
        <w:t xml:space="preserve">Cross tabulations for categorical variables,</w:t>
      </w:r>
      <w:r>
        <w:t xml:space="preserve"> </w:t>
      </w:r>
      <w:r>
        <w:t xml:space="preserve">scatter plots for continuous variables,</w:t>
      </w:r>
      <w:r>
        <w:t xml:space="preserve"> </w:t>
      </w:r>
      <w:r>
        <w:t xml:space="preserve">side-by-side boxplots for continuous scale measurements</w:t>
      </w:r>
      <w:r>
        <w:t xml:space="preserve"> </w:t>
      </w:r>
      <w:r>
        <w:t xml:space="preserve">grouped according to the factor levels of a categorical variable,</w:t>
      </w:r>
      <w:r>
        <w:t xml:space="preserve"> </w:t>
      </w:r>
      <w:r>
        <w:t xml:space="preserve">and other such summaries can help to identify patterns of association.</w:t>
      </w:r>
      <w:r>
        <w:t xml:space="preserve"> </w:t>
      </w:r>
      <w:r>
        <w:t xml:space="preserve">For example, do the points on a scatter plot suggest</w:t>
      </w:r>
      <w:r>
        <w:t xml:space="preserve"> </w:t>
      </w:r>
      <w:r>
        <w:t xml:space="preserve">linear or non-linear associations?</w:t>
      </w:r>
      <w:r>
        <w:t xml:space="preserve"> </w:t>
      </w:r>
      <w:r>
        <w:t xml:space="preserve">Do the group means increase or decrease consistently</w:t>
      </w:r>
      <w:r>
        <w:t xml:space="preserve"> </w:t>
      </w:r>
      <w:r>
        <w:t xml:space="preserve">with an ordinal variable defining the groups?</w:t>
      </w:r>
    </w:p>
    <w:bookmarkEnd w:id="10"/>
    <w:bookmarkEnd w:id="11"/>
    <w:bookmarkStart w:id="12" w:name="choosing-a-model"/>
    <w:p>
      <w:pPr>
        <w:pStyle w:val="Heading1"/>
      </w:pPr>
      <w:r>
        <w:t xml:space="preserve">2. Choosing a model</w:t>
      </w:r>
    </w:p>
    <w:p>
      <w:pPr>
        <w:pStyle w:val="FirstParagraph"/>
      </w:pPr>
      <w:r>
        <w:t xml:space="preserve">The choice of statistical model depends on several considerations,</w:t>
      </w:r>
      <w:r>
        <w:t xml:space="preserve"> </w:t>
      </w:r>
      <w:r>
        <w:t xml:space="preserve">primary among which is the type of response variable.</w:t>
      </w:r>
    </w:p>
    <w:p>
      <w:pPr>
        <w:numPr>
          <w:ilvl w:val="0"/>
          <w:numId w:val="1003"/>
        </w:numPr>
      </w:pPr>
      <w:r>
        <w:t xml:space="preserve">Measured continuous values such as protein level, age, or weight can usually be modeled using linear regression,</w:t>
      </w:r>
      <w:r>
        <w:t xml:space="preserve"> </w:t>
      </w:r>
      <w:r>
        <w:t xml:space="preserve">possibly after applying a logarithmic transformation.</w:t>
      </w:r>
    </w:p>
    <w:p>
      <w:pPr>
        <w:numPr>
          <w:ilvl w:val="0"/>
          <w:numId w:val="1003"/>
        </w:numPr>
      </w:pPr>
      <w:r>
        <w:t xml:space="preserve">Patient survival times, which may be right-censored, call for time-to-event methods</w:t>
      </w:r>
      <w:r>
        <w:t xml:space="preserve"> </w:t>
      </w:r>
      <w:r>
        <w:t xml:space="preserve">such as Kaplan-Meier estimation or Cox proportional hazards regression.</w:t>
      </w:r>
    </w:p>
    <w:p>
      <w:pPr>
        <w:numPr>
          <w:ilvl w:val="0"/>
          <w:numId w:val="1003"/>
        </w:numPr>
      </w:pPr>
      <w:r>
        <w:t xml:space="preserve">If the outcome is binary (0/1),</w:t>
      </w:r>
      <w:r>
        <w:t xml:space="preserve"> </w:t>
      </w:r>
      <w:r>
        <w:t xml:space="preserve">we can use logistic regression models.</w:t>
      </w:r>
    </w:p>
    <w:p>
      <w:pPr>
        <w:numPr>
          <w:ilvl w:val="0"/>
          <w:numId w:val="1003"/>
        </w:numPr>
      </w:pPr>
      <w:r>
        <w:t xml:space="preserve">If the outcome is a count,</w:t>
      </w:r>
      <w:r>
        <w:t xml:space="preserve"> </w:t>
      </w:r>
      <w:r>
        <w:t xml:space="preserve">we can use Poisson regression.</w:t>
      </w:r>
    </w:p>
    <w:p>
      <w:pPr>
        <w:numPr>
          <w:ilvl w:val="0"/>
          <w:numId w:val="1003"/>
        </w:numPr>
      </w:pPr>
      <w:r>
        <w:t xml:space="preserve">If count data exhibit greater variance than assumed under the Poisson model,</w:t>
      </w:r>
      <w:r>
        <w:t xml:space="preserve"> </w:t>
      </w:r>
      <w:r>
        <w:t xml:space="preserve">we can use negative binomial regression or overdispersed Poisson models.</w:t>
      </w:r>
    </w:p>
    <w:p>
      <w:pPr>
        <w:numPr>
          <w:ilvl w:val="0"/>
          <w:numId w:val="1003"/>
        </w:numPr>
      </w:pPr>
      <w:r>
        <w:t xml:space="preserve">Other outcome structures correspond to other families within the generalized linear model framework.</w:t>
      </w:r>
    </w:p>
    <w:p>
      <w:pPr>
        <w:pStyle w:val="FirstParagraph"/>
      </w:pPr>
      <w:r>
        <w:t xml:space="preserve">In generalized linear modeling, we specify a linear predictor</w:t>
      </w:r>
      <w:r>
        <w:t xml:space="preserve"> </w:t>
      </w:r>
      <m:oMath>
        <m:r>
          <m:t>η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of the same form as in linear regression.</w:t>
      </w:r>
      <w:r>
        <w:t xml:space="preserve"> </w:t>
      </w:r>
      <w:r>
        <w:t xml:space="preserve">In principle, a linear predictor can yield any real value,</w:t>
      </w:r>
      <w:r>
        <w:t xml:space="preserve"> </w:t>
      </w:r>
      <w:r>
        <w:t xml:space="preserve">whether positive, negative, or zero.</w:t>
      </w:r>
    </w:p>
    <w:p>
      <w:pPr>
        <w:pStyle w:val="BodyText"/>
      </w:pPr>
      <w:r>
        <w:t xml:space="preserve">We then select an appropriate outcome distribution matched to the data type</w:t>
      </w:r>
      <w:r>
        <w:t xml:space="preserve"> </w:t>
      </w:r>
      <w:r>
        <w:t xml:space="preserve">(for example, Gaussian for unbounded continuous values,</w:t>
      </w:r>
      <w:r>
        <w:t xml:space="preserve"> </w:t>
      </w:r>
      <w:r>
        <w:t xml:space="preserve">gamma for positive continuous quantities,</w:t>
      </w:r>
      <w:r>
        <w:t xml:space="preserve"> </w:t>
      </w:r>
      <w:r>
        <w:t xml:space="preserve">binomial for binary outcomes,</w:t>
      </w:r>
      <w:r>
        <w:t xml:space="preserve"> </w:t>
      </w:r>
      <w:r>
        <w:t xml:space="preserve">and Poisson for counts).</w:t>
      </w:r>
    </w:p>
    <w:p>
      <w:pPr>
        <w:pStyle w:val="BodyText"/>
      </w:pPr>
      <w:r>
        <w:t xml:space="preserve">Finally, we specify a link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rPr>
            <m:sty m:val="p"/>
          </m:rPr>
          <m:t>⋅</m:t>
        </m:r>
        <m:r>
          <m:rPr>
            <m:sty m:val="p"/>
          </m:rPr>
          <m:t>)</m:t>
        </m:r>
      </m:oMath>
      <w:r>
        <w:t xml:space="preserve"> </w:t>
      </w:r>
      <w:r>
        <w:t xml:space="preserve">that maps the expected outcome</w:t>
      </w:r>
      <w:r>
        <w:t xml:space="preserve"> </w:t>
      </w:r>
      <m:oMath>
        <m:r>
          <m:t>μ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</m:oMath>
      <w:r>
        <w:t xml:space="preserve"> </w:t>
      </w:r>
      <w:r>
        <w:t xml:space="preserve">onto the real line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of the linear predictor.</w:t>
      </w:r>
      <w:r>
        <w:t xml:space="preserve"> </w:t>
      </w:r>
      <w:r>
        <w:t xml:space="preserve">The inverse link function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rPr>
            <m:sty m:val="p"/>
          </m:rPr>
          <m:t>⋅</m:t>
        </m:r>
        <m:r>
          <m:rPr>
            <m:sty m:val="p"/>
          </m:rPr>
          <m:t>)</m:t>
        </m:r>
      </m:oMath>
      <w:r>
        <w:t xml:space="preserve"> </w:t>
      </w:r>
      <w:r>
        <w:t xml:space="preserve">transforms the linear predictor back to the scale of the expected outcome.</w:t>
      </w:r>
    </w:p>
    <w:p>
      <w:pPr>
        <w:numPr>
          <w:ilvl w:val="0"/>
          <w:numId w:val="1004"/>
        </w:numPr>
      </w:pPr>
      <w:r>
        <w:t xml:space="preserve">Standard linear regression uses the identity link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μ</m:t>
        </m:r>
      </m:oMath>
      <w:r>
        <w:t xml:space="preserve"> </w:t>
      </w:r>
      <w:r>
        <w:t xml:space="preserve">and assumes a Gaussian response distribution.</w:t>
      </w:r>
    </w:p>
    <w:p>
      <w:pPr>
        <w:numPr>
          <w:ilvl w:val="0"/>
          <w:numId w:val="1004"/>
        </w:numPr>
      </w:pPr>
      <w:r>
        <w:t xml:space="preserve">When predicting an inherently positive outcome,</w:t>
      </w:r>
      <w:r>
        <w:t xml:space="preserve"> </w:t>
      </w:r>
      <w:r>
        <w:t xml:space="preserve">a log link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μ</m:t>
            </m:r>
          </m:e>
        </m:d>
        <m:r>
          <m:t>​</m:t>
        </m:r>
      </m:oMath>
      <w:r>
        <w:t xml:space="preserve"> </w:t>
      </w:r>
      <w:r>
        <w:t xml:space="preserve">is often appropriate,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η</m:t>
            </m:r>
          </m:e>
        </m:d>
        <m:r>
          <m:t>​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for all real</w:t>
      </w:r>
      <w:r>
        <w:t xml:space="preserve"> </w:t>
      </w:r>
      <m:oMath>
        <m:r>
          <m:t>η</m:t>
        </m:r>
      </m:oMath>
      <w:r>
        <w:t xml:space="preserve">.</w:t>
      </w:r>
    </w:p>
    <w:p>
      <w:pPr>
        <w:numPr>
          <w:ilvl w:val="0"/>
          <w:numId w:val="1004"/>
        </w:numPr>
      </w:pPr>
      <w:r>
        <w:t xml:space="preserve">An alternative to fitting a generalized linear model with a log link</w:t>
      </w:r>
      <w:r>
        <w:t xml:space="preserve"> </w:t>
      </w:r>
      <w:r>
        <w:t xml:space="preserve">is to apply a log transformation directly to the outcome.</w:t>
      </w:r>
      <w:r>
        <w:t xml:space="preserve"> </w:t>
      </w:r>
      <w:r>
        <w:t xml:space="preserve">While log-transforming the outcome works well for positive continuous measurements,</w:t>
      </w:r>
      <w:r>
        <w:t xml:space="preserve"> </w:t>
      </w:r>
      <w:r>
        <w:t xml:space="preserve">it cannot be applied directly to binary outcomes or to count outcomes that can equal zero.</w:t>
      </w:r>
    </w:p>
    <w:p>
      <w:pPr>
        <w:pStyle w:val="TableCaption"/>
      </w:pPr>
      <w:r>
        <w:t xml:space="preserve">R glm() Families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R glm() Families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Family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gaussian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</w:t>
            </w:r>
            <w:r>
              <w:t xml:space="preserve">, log, inverse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binomial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logit</w:t>
            </w:r>
            <w:r>
              <w:t xml:space="preserve">, probit, cauchit, log, cloglog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gamma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inverse</w:t>
            </w:r>
            <w:r>
              <w:t xml:space="preserve">, identity,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inverse.gaussian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1/mu^2</w:t>
            </w:r>
            <w:r>
              <w:t xml:space="preserve">, inverse, identity,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Poisson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log</w:t>
            </w:r>
            <w:r>
              <w:t xml:space="preserve">, identity, sqrt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quasi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</w:t>
            </w:r>
            <w:r>
              <w:t xml:space="preserve">, logit, probit, cloglog, inverse, log, 1/mu^2 and sqrt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quasibinomial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logit</w:t>
            </w:r>
            <w:r>
              <w:t xml:space="preserve">, probit, identity, cloglog, inverse, log, 1/mu^2 and sqrt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quasipoisson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log</w:t>
            </w:r>
            <w:r>
              <w:t xml:space="preserve">, identity, logit, probit, cloglog, inverse, 1/mu^2 and sqrt</w:t>
            </w:r>
          </w:p>
        </w:tc>
      </w:tr>
    </w:tbl>
    <w:p>
      <w:pPr>
        <w:pStyle w:val="BodyText"/>
      </w:pPr>
      <w:r>
        <w:t xml:space="preserve"> </w:t>
      </w:r>
    </w:p>
    <w:p>
      <w:pPr>
        <w:pStyle w:val="TableCaption"/>
      </w:pPr>
      <w:r>
        <w:t xml:space="preserve">R</w:t>
      </w:r>
      <w:r>
        <w:t xml:space="preserve"> </w:t>
      </w:r>
      <w:r>
        <w:rPr>
          <w:rStyle w:val="VerbatimChar"/>
        </w:rPr>
        <w:t xml:space="preserve">glm()</w:t>
      </w:r>
      <w:r>
        <w:t xml:space="preserve"> </w:t>
      </w:r>
      <w:r>
        <w:t xml:space="preserve">Link Functions;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X</m:t>
        </m:r>
        <m:r>
          <m:t>β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</m:oMath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R glm() Link Functions; \eta = X\beta = g(\mu)"/>
      </w:tblPr>
      <w:tblGrid>
        <w:gridCol w:w="672"/>
        <w:gridCol w:w="1419"/>
        <w:gridCol w:w="1419"/>
        <w:gridCol w:w="2017"/>
        <w:gridCol w:w="23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Domain</w:t>
            </w:r>
          </w:p>
        </w:tc>
        <w:tc>
          <w:tcPr/>
          <w:p>
            <w:pPr>
              <w:pStyle w:val="Compact"/>
            </w:pPr>
            <w:r>
              <w:t xml:space="preserve">Range</w:t>
            </w:r>
          </w:p>
        </w:tc>
        <w:tc>
          <w:tcPr/>
          <w:p>
            <w:pPr>
              <w:pStyle w:val="Compact"/>
            </w:pPr>
            <w:r>
              <w:t xml:space="preserve">Link Function</w:t>
            </w:r>
          </w:p>
        </w:tc>
        <w:tc>
          <w:tcPr/>
          <w:p>
            <w:pPr>
              <w:pStyle w:val="Compact"/>
            </w:pPr>
            <w:r>
              <w:t xml:space="preserve">Inverse Link Function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η</m:t>
              </m:r>
              <m:r>
                <m:rPr>
                  <m:sty m:val="p"/>
                </m:rPr>
                <m:t>=</m:t>
              </m:r>
              <m:r>
                <m:t>μ</m:t>
              </m:r>
            </m:oMath>
            <w:r>
              <w:t xml:space="preserve">.</w:t>
            </w:r>
          </w:p>
        </w:tc>
        <w:tc>
          <w:tcPr/>
          <w:p>
            <w:pPr>
              <w:pStyle w:val="Compact"/>
            </w:pPr>
            <m:oMath>
              <m:r>
                <m:t>μ</m:t>
              </m:r>
              <m:r>
                <m:rPr>
                  <m:sty m:val="p"/>
                </m:rPr>
                <m:t>=</m:t>
              </m:r>
              <m:r>
                <m:t>η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η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μ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μ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inverse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η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μ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μ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η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logit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η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μ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μ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probit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η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Φ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μ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Φ</m:t>
              </m:r>
              <m:r>
                <m:rPr>
                  <m:sty m:val="p"/>
                </m:rPr>
                <m:t>(</m:t>
              </m:r>
              <m:r>
                <m:t>η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cloglog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η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μ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μ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η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1/mu^2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η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μ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μ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η</m:t>
                  </m:r>
                </m:e>
              </m:rad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sqrt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η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μ</m:t>
                  </m:r>
                </m:e>
              </m:rad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μ</m:t>
              </m:r>
              <m:r>
                <m:rPr>
                  <m:sty m:val="p"/>
                </m:rPr>
                <m:t>=</m:t>
              </m:r>
              <m:sSup>
                <m:e>
                  <m:r>
                    <m:t>η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</w:tr>
    </w:tbl>
    <w:bookmarkEnd w:id="12"/>
    <w:bookmarkStart w:id="15" w:name="references"/>
    <w:p>
      <w:pPr>
        <w:pStyle w:val="Heading1"/>
      </w:pPr>
      <w:r>
        <w:t xml:space="preserve">References</w:t>
      </w:r>
    </w:p>
    <w:bookmarkStart w:id="14" w:name="refs"/>
    <w:bookmarkStart w:id="13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9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oi.org/10.1201/97813151827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oi.org/10.1201/97813151827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Generalized Linear Models</dc:title>
  <dc:creator/>
  <cp:keywords/>
  <dcterms:created xsi:type="dcterms:W3CDTF">2026-09-29T07:24:06Z</dcterms:created>
  <dcterms:modified xsi:type="dcterms:W3CDTF">2026-09-29T07:24:06Z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