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Writing for teaching</w:t>
      </w:r>
    </w:p>
    <w:p>
      <w:pPr>
        <w:pStyle w:val="Date"/>
      </w:pPr>
      <w:r>
        <w:t xml:space="preserve">Last modified: 2026-11-05 16:37:15 (PST)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p>
      <w:pPr>
        <w:pStyle w:val="BodyText"/>
      </w:pPr>
      <w:r>
        <w:t xml:space="preserve">Lecture notes, slides, and problem sets teach rather than report.</w:t>
      </w:r>
      <w:r>
        <w:t xml:space="preserve"> </w:t>
      </w:r>
      <w:r>
        <w:t xml:space="preserve">The general rules for scientific writing in the other chapters still apply.</w:t>
      </w:r>
      <w:r>
        <w:t xml:space="preserve"> </w:t>
      </w:r>
      <w:r>
        <w:t xml:space="preserve">This chapter adds the rules that apply to teaching materials in particular.</w:t>
      </w:r>
    </w:p>
    <w:bookmarkStart w:id="16" w:name="teaching-writing-and-writing-for-peers"/>
    <w:p>
      <w:pPr>
        <w:pStyle w:val="Heading1"/>
      </w:pPr>
      <w:r>
        <w:t xml:space="preserve">1. Teaching writing and writing for peers</w:t>
      </w:r>
    </w:p>
    <w:p>
      <w:pPr>
        <w:pStyle w:val="FirstParagraph"/>
      </w:pPr>
      <w:r>
        <w:t xml:space="preserve">A teaching document and a paper have different readers, so they follow different rules.</w:t>
      </w:r>
      <w:r>
        <w:t xml:space="preserve"> </w:t>
      </w:r>
      <w:r>
        <w:t xml:space="preserve">The reader of a teaching document is learning the material.</w:t>
      </w:r>
      <w:r>
        <w:t xml:space="preserve"> </w:t>
      </w:r>
      <w:r>
        <w:t xml:space="preserve">The reader of a paper is a researcher who already knows the field and wants to judge new work.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Teaching materials</w:t>
            </w:r>
          </w:p>
        </w:tc>
        <w:tc>
          <w:tcPr/>
          <w:p>
            <w:pPr>
              <w:pStyle w:val="Compact"/>
            </w:pPr>
            <w:r>
              <w:t xml:space="preserve">Writing for peers (a paper)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Reader</w:t>
            </w:r>
          </w:p>
        </w:tc>
        <w:tc>
          <w:tcPr/>
          <w:p>
            <w:pPr>
              <w:pStyle w:val="Compact"/>
            </w:pPr>
            <w:r>
              <w:t xml:space="preserve">A learner who needs each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term</w:t>
              </w:r>
            </w:hyperlink>
            <w:r>
              <w:t xml:space="preserve"> </w:t>
            </w:r>
            <w:r>
              <w:t xml:space="preserve">defined before it is used.</w:t>
            </w:r>
          </w:p>
        </w:tc>
        <w:tc>
          <w:tcPr/>
          <w:p>
            <w:pPr>
              <w:pStyle w:val="Compact"/>
            </w:pPr>
            <w:r>
              <w:t xml:space="preserve">A researcher in the field who knows the standard terms.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The reader can do the method afterwards.</w:t>
            </w:r>
          </w:p>
        </w:tc>
        <w:tc>
          <w:tcPr/>
          <w:p>
            <w:pPr>
              <w:pStyle w:val="Compact"/>
            </w:pPr>
            <w:r>
              <w:t xml:space="preserve">The reader can judge and build on the new result.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Standard material</w:t>
            </w:r>
          </w:p>
        </w:tc>
        <w:tc>
          <w:tcPr/>
          <w:p>
            <w:pPr>
              <w:pStyle w:val="Compact"/>
            </w:pPr>
            <w:r>
              <w:t xml:space="preserve">Stated in full, with its definitions, notation, and worked examples.</w:t>
            </w:r>
          </w:p>
        </w:tc>
        <w:tc>
          <w:tcPr/>
          <w:p>
            <w:pPr>
              <w:pStyle w:val="Compact"/>
            </w:pPr>
            <w:r>
              <w:t xml:space="preserve">Cited, not restated.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Order</w:t>
            </w:r>
          </w:p>
        </w:tc>
        <w:tc>
          <w:tcPr/>
          <w:p>
            <w:pPr>
              <w:pStyle w:val="Compact"/>
            </w:pPr>
            <w:r>
              <w:t xml:space="preserve">An exercise first, then the definition, the result, and its proof.</w:t>
            </w:r>
          </w:p>
        </w:tc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</w:rPr>
                <w:t xml:space="preserve">The standard paper structure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Examples</w:t>
            </w:r>
          </w:p>
        </w:tc>
        <w:tc>
          <w:tcPr/>
          <w:p>
            <w:pPr>
              <w:pStyle w:val="Compact"/>
            </w:pPr>
            <w:r>
              <w:t xml:space="preserve">Every definition is followed by an example, and every example by an exercise.</w:t>
            </w:r>
          </w:p>
        </w:tc>
        <w:tc>
          <w:tcPr/>
          <w:p>
            <w:pPr>
              <w:pStyle w:val="Compact"/>
            </w:pPr>
            <w:r>
              <w:t xml:space="preserve">Examples appear where they support a claim.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Repetition</w:t>
            </w:r>
          </w:p>
        </w:tc>
        <w:tc>
          <w:tcPr/>
          <w:p>
            <w:pPr>
              <w:pStyle w:val="Compact"/>
            </w:pPr>
            <w:r>
              <w:t xml:space="preserve">One written version of each result is reused wherever it is needed.</w:t>
            </w:r>
          </w:p>
        </w:tc>
        <w:tc>
          <w:tcPr/>
          <w:p>
            <w:pPr>
              <w:pStyle w:val="Compact"/>
            </w:pPr>
            <w:r>
              <w:t xml:space="preserve">Each result is stated once, where the argument needs it.</w:t>
            </w:r>
          </w:p>
        </w:tc>
      </w:tr>
    </w:tbl>
    <w:p>
      <w:pPr>
        <w:pStyle w:val="BodyText"/>
      </w:pPr>
      <w:r>
        <w:t xml:space="preserve">Four consequences follow for how you write.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Define every term that the reader might not know.</w:t>
      </w:r>
      <w:r>
        <w:t xml:space="preserve"> </w:t>
      </w:r>
      <w:r>
        <w:t xml:space="preserve"> </w:t>
      </w:r>
      <w:r>
        <w:t xml:space="preserve">A paper may use a standard term of its field without a definition.</w:t>
      </w:r>
      <w:r>
        <w:t xml:space="preserve"> </w:t>
      </w:r>
      <w:r>
        <w:t xml:space="preserve">Teaching materials define the term, or link to the page that does.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Show each step of a derivation.</w:t>
      </w:r>
      <w:r>
        <w:t xml:space="preserve"> </w:t>
      </w:r>
      <w:r>
        <w:t xml:space="preserve">A paper may skip a routine step.</w:t>
      </w:r>
      <w:r>
        <w:t xml:space="preserve"> </w:t>
      </w:r>
      <w:r>
        <w:t xml:space="preserve">Teaching materials give one operation per line, so the learner can check each step.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Test the reader’s understanding.</w:t>
      </w:r>
      <w:r>
        <w:t xml:space="preserve"> </w:t>
      </w:r>
      <w:r>
        <w:t xml:space="preserve">Teaching materials include exercises and solutions.</w:t>
      </w:r>
      <w:r>
        <w:t xml:space="preserve"> </w:t>
      </w:r>
      <w:r>
        <w:t xml:space="preserve">A paper does not.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Use the same notation throughout, and state its alternatives.</w:t>
      </w:r>
      <w:r>
        <w:t xml:space="preserve"> </w:t>
      </w:r>
      <w:r>
        <w:t xml:space="preserve">A paper fixes one notation for its own argument.</w:t>
      </w:r>
      <w:r>
        <w:t xml:space="preserve"> </w:t>
      </w:r>
      <w:r>
        <w:t xml:space="preserve">A learner also meets other notations in other textbooks and papers.</w:t>
      </w:r>
    </w:p>
    <w:p>
      <w:pPr>
        <w:pStyle w:val="FirstParagraph"/>
      </w:pPr>
      <w:r>
        <w:t xml:space="preserve">The rest of this chapter gives the rules for teaching materials.</w:t>
      </w:r>
      <w:r>
        <w:t xml:space="preserve"> </w:t>
      </w:r>
      <w:r>
        <w:t xml:space="preserve">The chapters on</w:t>
      </w:r>
      <w:r>
        <w:t xml:space="preserve"> </w:t>
      </w:r>
      <w:hyperlink r:id="rId14">
        <w:r>
          <w:rPr>
            <w:rStyle w:val="Hyperlink"/>
          </w:rPr>
          <w:t xml:space="preserve">paper organization</w:t>
        </w:r>
      </w:hyperlink>
      <w:r>
        <w:t xml:space="preserve"> </w:t>
      </w:r>
      <w:r>
        <w:t xml:space="preserve">and</w:t>
      </w:r>
      <w:r>
        <w:t xml:space="preserve"> </w:t>
      </w:r>
      <w:hyperlink r:id="rId15">
        <w:r>
          <w:rPr>
            <w:rStyle w:val="Hyperlink"/>
          </w:rPr>
          <w:t xml:space="preserve">manuscript submission</w:t>
        </w:r>
      </w:hyperlink>
      <w:r>
        <w:t xml:space="preserve"> </w:t>
      </w:r>
      <w:r>
        <w:t xml:space="preserve">give the rules for papers.</w:t>
      </w:r>
    </w:p>
    <w:bookmarkEnd w:id="16"/>
    <w:bookmarkStart w:id="23" w:name="X54d80540a68b433948113395869433e0fc9698c"/>
    <w:p>
      <w:pPr>
        <w:pStyle w:val="Heading1"/>
      </w:pPr>
      <w:r>
        <w:t xml:space="preserve">2. Build the lecture from exercises and solutions</w:t>
      </w:r>
    </w:p>
    <w:p>
      <w:pPr>
        <w:pStyle w:val="FirstParagraph"/>
      </w:pPr>
      <w:r>
        <w:t xml:space="preserve">Active learning, in which students work through tasks themselves during class,</w:t>
      </w:r>
      <w:r>
        <w:t xml:space="preserve"> </w:t>
      </w:r>
      <w:r>
        <w:t xml:space="preserve">improves exam performance over lecture alone</w:t>
      </w:r>
      <w:r>
        <w:t xml:space="preserve"> </w:t>
      </w:r>
      <w:r>
        <w:t xml:space="preserve">(Freeman et al. 2014)</w:t>
      </w:r>
      <w:r>
        <w:t xml:space="preserve">.</w:t>
      </w:r>
      <w:r>
        <w:t xml:space="preserve"> </w:t>
      </w:r>
      <w:r>
        <w:t xml:space="preserve">The exercise-first structure is this guide’s own convention</w:t>
      </w:r>
      <w:r>
        <w:t xml:space="preserve"> </w:t>
      </w:r>
      <w:r>
        <w:t xml:space="preserve">for putting that result into practice.</w:t>
      </w:r>
      <w:r>
        <w:t xml:space="preserve"> </w:t>
      </w:r>
      <w:r>
        <w:t xml:space="preserve">Pose each task as an exercise, give students time to try it, and then show the solution.</w:t>
      </w:r>
    </w:p>
    <w:p>
      <w:pPr>
        <w:numPr>
          <w:ilvl w:val="0"/>
          <w:numId w:val="1002"/>
        </w:numPr>
      </w:pPr>
      <w:r>
        <w:t xml:space="preserve">Pose every data manipulation or analysis as an exercise,</w:t>
      </w:r>
      <w:r>
        <w:t xml:space="preserve"> </w:t>
      </w:r>
      <w:r>
        <w:t xml:space="preserve">and show the code in the solution.</w:t>
      </w:r>
      <w:r>
        <w:t xml:space="preserve"> </w:t>
      </w:r>
      <w:r>
        <w:t xml:space="preserve">Do not show the code first and explain it afterwards.</w:t>
      </w:r>
    </w:p>
    <w:p>
      <w:pPr>
        <w:numPr>
          <w:ilvl w:val="0"/>
          <w:numId w:val="1002"/>
        </w:numPr>
      </w:pPr>
      <w:r>
        <w:t xml:space="preserve">Pose every calculation, derivation, or proof as an exercise,</w:t>
      </w:r>
      <w:r>
        <w:t xml:space="preserve"> </w:t>
      </w:r>
      <w:r>
        <w:t xml:space="preserve">and put the worked steps in the solution.</w:t>
      </w:r>
    </w:p>
    <w:p>
      <w:pPr>
        <w:numPr>
          <w:ilvl w:val="0"/>
          <w:numId w:val="1002"/>
        </w:numPr>
      </w:pPr>
      <w:r>
        <w:t xml:space="preserve">Ask the question that a definition or theorem answers before stating it.</w:t>
      </w:r>
      <w:r>
        <w:t xml:space="preserve"> </w:t>
      </w:r>
      <w:r>
        <w:t xml:space="preserve">The solution answers informally, in plain words,</w:t>
      </w:r>
      <w:r>
        <w:t xml:space="preserve"> </w:t>
      </w:r>
      <w:r>
        <w:t xml:space="preserve">and the formal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#thm-</w:t>
      </w:r>
      <w:r>
        <w:t xml:space="preserve"> </w:t>
      </w:r>
      <w:r>
        <w:t xml:space="preserve">div follows the solution div.</w:t>
      </w:r>
    </w:p>
    <w:p>
      <w:pPr>
        <w:numPr>
          <w:ilvl w:val="0"/>
          <w:numId w:val="1002"/>
        </w:numPr>
      </w:pPr>
      <w:r>
        <w:t xml:space="preserve">Restate every result that a solution first derives in its own theorem-type div</w:t>
      </w:r>
      <w:r>
        <w:t xml:space="preserve"> </w:t>
      </w:r>
      <w:r>
        <w:t xml:space="preserve">(</w:t>
      </w:r>
      <w:r>
        <w:rPr>
          <w:rStyle w:val="VerbatimChar"/>
        </w:rPr>
        <w:t xml:space="preserve">#thm-</w:t>
      </w:r>
      <w:r>
        <w:t xml:space="preserve">,</w:t>
      </w:r>
      <w:r>
        <w:t xml:space="preserve"> </w:t>
      </w:r>
      <w:r>
        <w:rPr>
          <w:rStyle w:val="VerbatimChar"/>
        </w:rPr>
        <w:t xml:space="preserve">#lem-</w:t>
      </w:r>
      <w:r>
        <w:t xml:space="preserve">,</w:t>
      </w:r>
      <w:r>
        <w:t xml:space="preserve"> </w:t>
      </w:r>
      <w:r>
        <w:rPr>
          <w:rStyle w:val="VerbatimChar"/>
        </w:rPr>
        <w:t xml:space="preserve">#cor-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#prp-</w:t>
      </w:r>
      <w:r>
        <w:t xml:space="preserve">) after the exercise (Ezra, 2026-10-29).</w:t>
      </w:r>
      <w:r>
        <w:t xml:space="preserve"> </w:t>
      </w:r>
      <w:r>
        <w:t xml:space="preserve">The solution shows the working,</w:t>
      </w:r>
      <w:r>
        <w:t xml:space="preserve"> </w:t>
      </w:r>
      <w:r>
        <w:t xml:space="preserve">and the theorem div states the result by itself, so a reader can find and cite it.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check-restated-results</w:t>
      </w:r>
      <w:r>
        <w:t xml:space="preserve"> </w:t>
      </w:r>
      <w:r>
        <w:t xml:space="preserve">workflow in</w:t>
      </w:r>
      <w:r>
        <w:t xml:space="preserve"> </w:t>
      </w:r>
      <w:hyperlink r:id="rId17">
        <w:r>
          <w:rPr>
            <w:rStyle w:val="VerbatimChar"/>
          </w:rPr>
          <w:t xml:space="preserve">gha</w:t>
        </w:r>
      </w:hyperlink>
      <w:r>
        <w:t xml:space="preserve"> </w:t>
      </w:r>
      <w:r>
        <w:t xml:space="preserve">warns about a derivation solution that a pull request edits</w:t>
      </w:r>
      <w:r>
        <w:t xml:space="preserve"> </w:t>
      </w:r>
      <w:r>
        <w:t xml:space="preserve">and that no theorem-type div follows</w:t>
      </w:r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gha#1309</w:t>
        </w:r>
      </w:hyperlink>
      <w:r>
        <w:t xml:space="preserve">).</w:t>
      </w:r>
      <w:r>
        <w:t xml:space="preserve"> </w:t>
      </w:r>
      <w:r>
        <w:t xml:space="preserve">The check never sweeps existing content:</w:t>
      </w:r>
      <w:r>
        <w:t xml:space="preserve"> </w:t>
      </w:r>
      <w:r>
        <w:t xml:space="preserve">restate the result when you edit the passage anyway.</w:t>
      </w:r>
      <w:r>
        <w:t xml:space="preserve"> </w:t>
      </w:r>
      <w:r>
        <w:rPr>
          <w:rStyle w:val="VerbatimChar"/>
        </w:rPr>
        <w:t xml:space="preserve">&lt;!-- restated-ok: reason --&gt;</w:t>
      </w:r>
      <w:r>
        <w:t xml:space="preserve"> </w:t>
      </w:r>
      <w:r>
        <w:t xml:space="preserve">in the solution exempts a result that is stated elsewhere.</w:t>
      </w:r>
      <w:r>
        <w:t xml:space="preserve"> </w:t>
      </w:r>
      <w:r>
        <w:t xml:space="preserve">A restated theorem passes review only when it meets these four conditions: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The proof stands alone.</w:t>
      </w:r>
      <w:r>
        <w:t xml:space="preserve"> </w:t>
      </w:r>
      <w:r>
        <w:t xml:space="preserve">It derives the result step by step, or cites earlier results,</w:t>
      </w:r>
      <w:r>
        <w:t xml:space="preserve"> </w:t>
      </w:r>
      <w:r>
        <w:t xml:space="preserve">and does not only point back at the solution that first derived it.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The statement uses only defined symbols.</w:t>
      </w:r>
      <w:r>
        <w:t xml:space="preserve"> </w:t>
      </w:r>
      <w:r>
        <w:t xml:space="preserve">Every symbol in it is defined in the statement itself or in an earlier div.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The first use of each</w:t>
      </w:r>
      <w:r>
        <w:rPr>
          <w:b/>
          <w:bCs/>
        </w:rPr>
        <w:t xml:space="preserve"> </w:t>
      </w:r>
      <w:hyperlink r:id="rId12">
        <w:r>
          <w:rPr>
            <w:rStyle w:val="Hyperlink"/>
            <w:b/>
            <w:bCs/>
          </w:rPr>
          <w:t xml:space="preserve">term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is linked</w:t>
      </w:r>
      <w:r>
        <w:t xml:space="preserve"> </w:t>
      </w:r>
      <w:r>
        <w:t xml:space="preserve">to the div that defines it.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Each source line holds one clause</w:t>
      </w:r>
      <w:r>
        <w:t xml:space="preserve">,</w:t>
      </w:r>
      <w:r>
        <w:t xml:space="preserve"> </w:t>
      </w:r>
      <w:r>
        <w:t xml:space="preserve">as the semantic line break rule requires.</w:t>
      </w:r>
    </w:p>
    <w:p>
      <w:pPr>
        <w:numPr>
          <w:ilvl w:val="0"/>
          <w:numId w:val="1002"/>
        </w:numPr>
      </w:pPr>
      <w:r>
        <w:t xml:space="preserve">Give each bottom-level prompt its own</w:t>
      </w:r>
      <w:r>
        <w:t xml:space="preserve"> </w:t>
      </w:r>
      <w:r>
        <w:rPr>
          <w:rStyle w:val="VerbatimChar"/>
        </w:rPr>
        <w:t xml:space="preserve">#exr-</w:t>
      </w:r>
      <w:r>
        <w:t xml:space="preserve"> </w:t>
      </w:r>
      <w:r>
        <w:t xml:space="preserve">div and its own</w:t>
      </w:r>
      <w:r>
        <w:t xml:space="preserve"> </w:t>
      </w:r>
      <w:r>
        <w:rPr>
          <w:rStyle w:val="VerbatimChar"/>
        </w:rPr>
        <w:t xml:space="preserve">#sol-</w:t>
      </w:r>
      <w:r>
        <w:t xml:space="preserve"> </w:t>
      </w:r>
      <w:r>
        <w:t xml:space="preserve">div,</w:t>
      </w:r>
      <w:r>
        <w:t xml:space="preserve"> </w:t>
      </w:r>
      <w:r>
        <w:t xml:space="preserve">in order, rather than one exercise with parts (a) through (e).</w:t>
      </w:r>
      <w:r>
        <w:t xml:space="preserve"> </w:t>
      </w:r>
      <w:r>
        <w:t xml:space="preserve">Any exercise with several parts is split, however the parts are marked:</w:t>
      </w:r>
      <w:r>
        <w:t xml:space="preserve"> </w:t>
      </w:r>
      <w:r>
        <w:t xml:space="preserve">letters, numbers or bullets.</w:t>
      </w:r>
      <w:r>
        <w:t xml:space="preserve"> </w:t>
      </w:r>
      <w:r>
        <w:t xml:space="preserve">Put the shared setup in the first exercise,</w:t>
      </w:r>
      <w:r>
        <w:t xml:space="preserve"> </w:t>
      </w:r>
      <w:r>
        <w:t xml:space="preserve">and begin each later exercise by citing it, as in</w:t>
      </w:r>
      <w:r>
        <w:t xml:space="preserve"> </w:t>
      </w:r>
      <w:r>
        <w:t xml:space="preserve">“Make the assumptions of the first exercise.”</w:t>
      </w:r>
      <w:r>
        <w:t xml:space="preserve"> </w:t>
      </w:r>
      <w:r>
        <w:t xml:space="preserve">Later exercises can use earlier results through cross-references.</w:t>
      </w:r>
    </w:p>
    <w:p>
      <w:pPr>
        <w:numPr>
          <w:ilvl w:val="0"/>
          <w:numId w:val="1002"/>
        </w:numPr>
      </w:pPr>
      <w:r>
        <w:t xml:space="preserve">Split the solution the same way as its exercise (Ezra, 2026-10-28).</w:t>
      </w:r>
      <w:r>
        <w:t xml:space="preserve"> </w:t>
      </w:r>
      <w:r>
        <w:t xml:space="preserve">Each</w:t>
      </w:r>
      <w:r>
        <w:t xml:space="preserve"> </w:t>
      </w:r>
      <w:r>
        <w:rPr>
          <w:rStyle w:val="VerbatimChar"/>
        </w:rPr>
        <w:t xml:space="preserve">#sol-</w:t>
      </w:r>
      <w:r>
        <w:t xml:space="preserve"> </w:t>
      </w:r>
      <w:r>
        <w:t xml:space="preserve">of a split exercise answers only its own</w:t>
      </w:r>
      <w:r>
        <w:t xml:space="preserve"> </w:t>
      </w:r>
      <w:r>
        <w:rPr>
          <w:rStyle w:val="VerbatimChar"/>
        </w:rPr>
        <w:t xml:space="preserve">#exr-</w:t>
      </w:r>
      <w:r>
        <w:t xml:space="preserve">,</w:t>
      </w:r>
      <w:r>
        <w:t xml:space="preserve"> </w:t>
      </w:r>
      <w:r>
        <w:t xml:space="preserve">takes its slug from that exercise (see the slug rule below),</w:t>
      </w:r>
      <w:r>
        <w:t xml:space="preserve"> </w:t>
      </w:r>
      <w:r>
        <w:t xml:space="preserve">and sits in its own subfile after its exercise.</w:t>
      </w:r>
      <w:r>
        <w:t xml:space="preserve"> </w:t>
      </w:r>
      <w:r>
        <w:t xml:space="preserve">This covers code: a lab solution puts each step’s code, output and figure in the solution of the exercise that asks for it,</w:t>
      </w:r>
      <w:r>
        <w:t xml:space="preserve"> </w:t>
      </w:r>
      <w:r>
        <w:t xml:space="preserve">not all in the first solution.</w:t>
      </w:r>
      <w:r>
        <w:t xml:space="preserve"> </w:t>
      </w:r>
      <w:r>
        <w:t xml:space="preserve">A solution does not label parts such as</w:t>
      </w:r>
      <w:r>
        <w:t xml:space="preserve"> </w:t>
      </w:r>
      <w:r>
        <w:t xml:space="preserve">“(b)”</w:t>
      </w:r>
      <w:r>
        <w:t xml:space="preserve"> </w:t>
      </w:r>
      <w:r>
        <w:t xml:space="preserve">or</w:t>
      </w:r>
      <w:r>
        <w:t xml:space="preserve"> </w:t>
      </w:r>
      <w:r>
        <w:t xml:space="preserve">“Part 2”</w:t>
      </w:r>
      <w:r>
        <w:t xml:space="preserve">,</w:t>
      </w:r>
      <w:r>
        <w:t xml:space="preserve"> </w:t>
      </w:r>
      <w:r>
        <w:t xml:space="preserve">and does not draw a figure that a later exercise asks for.</w:t>
      </w:r>
      <w:r>
        <w:t xml:space="preserve"> </w:t>
      </w:r>
      <w:r>
        <w:t xml:space="preserve">Code that a later part needs stays in the earliest solution that needs it,</w:t>
      </w:r>
      <w:r>
        <w:t xml:space="preserve"> </w:t>
      </w:r>
      <w:r>
        <w:t xml:space="preserve">because the page shares one session per language.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check-split-solutions</w:t>
      </w:r>
      <w:r>
        <w:t xml:space="preserve"> </w:t>
      </w:r>
      <w:r>
        <w:t xml:space="preserve">workflow in</w:t>
      </w:r>
      <w:r>
        <w:t xml:space="preserve"> </w:t>
      </w:r>
      <w:hyperlink r:id="rId17">
        <w:r>
          <w:rPr>
            <w:rStyle w:val="VerbatimChar"/>
          </w:rPr>
          <w:t xml:space="preserve">gha</w:t>
        </w:r>
      </w:hyperlink>
      <w:r>
        <w:t xml:space="preserve"> </w:t>
      </w:r>
      <w:r>
        <w:t xml:space="preserve">enforces this</w:t>
      </w:r>
      <w:r>
        <w:t xml:space="preserve"> </w:t>
      </w:r>
      <w:r>
        <w:t xml:space="preserve">(</w:t>
      </w:r>
      <w:hyperlink r:id="rId19">
        <w:r>
          <w:rPr>
            <w:rStyle w:val="Hyperlink"/>
          </w:rPr>
          <w:t xml:space="preserve">gha#1290</w:t>
        </w:r>
      </w:hyperlink>
      <w:r>
        <w:t xml:space="preserve">).</w:t>
      </w:r>
    </w:p>
    <w:p>
      <w:pPr>
        <w:numPr>
          <w:ilvl w:val="0"/>
          <w:numId w:val="1002"/>
        </w:numPr>
      </w:pPr>
      <w:r>
        <w:t xml:space="preserve">Make each exercise ask for one thing (Ezra, 2026-10-27).</w:t>
      </w:r>
      <w:r>
        <w:t xml:space="preserve"> </w:t>
      </w:r>
      <w:r>
        <w:t xml:space="preserve">A prompt that says</w:t>
      </w:r>
      <w:r>
        <w:t xml:space="preserve"> </w:t>
      </w:r>
      <w:r>
        <w:t xml:space="preserve">“compute the slope, and compare it with the fitted value”</w:t>
      </w:r>
      <w:r>
        <w:t xml:space="preserve"> </w:t>
      </w:r>
      <w:r>
        <w:t xml:space="preserve"> </w:t>
      </w:r>
      <w:r>
        <w:t xml:space="preserve">asks for two things, so split it into two exercises,</w:t>
      </w:r>
      <w:r>
        <w:t xml:space="preserve"> </w:t>
      </w:r>
      <w:r>
        <w:t xml:space="preserve">each with its own solution.</w:t>
      </w:r>
      <w:r>
        <w:t xml:space="preserve"> </w:t>
      </w:r>
      <w:r>
        <w:t xml:space="preserve">Split a list item or step inside an exercise the same way,</w:t>
      </w:r>
      <w:r>
        <w:t xml:space="preserve"> </w:t>
      </w:r>
      <w:r>
        <w:t xml:space="preserve">into separate exercises.</w:t>
      </w:r>
      <w:r>
        <w:t xml:space="preserve"> </w:t>
      </w:r>
      <w:r>
        <w:t xml:space="preserve">Phrases such as</w:t>
      </w:r>
      <w:r>
        <w:t xml:space="preserve"> </w:t>
      </w:r>
      <w:r>
        <w:t xml:space="preserve">“and then”</w:t>
      </w:r>
      <w:r>
        <w:t xml:space="preserve">,</w:t>
      </w:r>
      <w:r>
        <w:t xml:space="preserve"> </w:t>
      </w:r>
      <w:r>
        <w:t xml:space="preserve">“and also”</w:t>
      </w:r>
      <w:r>
        <w:t xml:space="preserve">, and</w:t>
      </w:r>
      <w:r>
        <w:t xml:space="preserve"> </w:t>
      </w:r>
      <w:r>
        <w:t xml:space="preserve">“and compare”</w:t>
      </w:r>
      <w:r>
        <w:t xml:space="preserve"> </w:t>
      </w:r>
      <w:r>
        <w:t xml:space="preserve">mark a second ask.</w:t>
      </w:r>
    </w:p>
    <w:p>
      <w:pPr>
        <w:numPr>
          <w:ilvl w:val="0"/>
          <w:numId w:val="1002"/>
        </w:numPr>
      </w:pPr>
      <w:r>
        <w:t xml:space="preserve">Put the instruction or question of an exercise in its own paragraph,</w:t>
      </w:r>
      <w:r>
        <w:t xml:space="preserve"> </w:t>
      </w:r>
      <w:r>
        <w:t xml:space="preserve">apart from the scenario information (Ezra, 2026-11-02).</w:t>
      </w:r>
      <w:r>
        <w:t xml:space="preserve"> </w:t>
      </w:r>
      <w:r>
        <w:t xml:space="preserve">The scenario paragraphs give the data, the setting and the definitions that the exercise needs,</w:t>
      </w:r>
      <w:r>
        <w:t xml:space="preserve"> </w:t>
      </w:r>
      <w:r>
        <w:t xml:space="preserve">and the last paragraph asks the question</w:t>
      </w:r>
      <w:r>
        <w:t xml:space="preserve"> </w:t>
      </w:r>
      <w:r>
        <w:t xml:space="preserve">or gives the instruction (</w:t>
      </w:r>
      <w:r>
        <w:t xml:space="preserve">“Show that …”</w:t>
      </w:r>
      <w:r>
        <w:t xml:space="preserve">,</w:t>
      </w:r>
      <w:r>
        <w:t xml:space="preserve"> </w:t>
      </w:r>
      <w:r>
        <w:t xml:space="preserve">“Which model …?”</w:t>
      </w:r>
      <w:r>
        <w:t xml:space="preserve">).</w:t>
      </w:r>
      <w:r>
        <w:t xml:space="preserve"> </w:t>
      </w:r>
      <w:r>
        <w:t xml:space="preserve">A reader scanning for the task then finds it without rereading the setup.</w:t>
      </w:r>
      <w:r>
        <w:t xml:space="preserve"> </w:t>
      </w:r>
      <w:r>
        <w:t xml:space="preserve">A paragraph that runs from the scenario into the task hides the task.</w:t>
      </w:r>
      <w:r>
        <w:t xml:space="preserve"> </w:t>
      </w:r>
      <w:r>
        <w:t xml:space="preserve">The</w:t>
      </w:r>
      <w:r>
        <w:t xml:space="preserve"> </w:t>
      </w:r>
      <w:hyperlink r:id="rId20">
        <w:r>
          <w:rPr>
            <w:rStyle w:val="VerbatimChar"/>
          </w:rPr>
          <w:t xml:space="preserve">check-exercise-question-paragraph</w:t>
        </w:r>
      </w:hyperlink>
      <w:r>
        <w:t xml:space="preserve"> </w:t>
      </w:r>
      <w:r>
        <w:t xml:space="preserve">check</w:t>
      </w:r>
      <w:r>
        <w:t xml:space="preserve"> </w:t>
      </w:r>
      <w:r>
        <w:t xml:space="preserve">fails a pull request that adds such a paragraph.</w:t>
      </w:r>
      <w:r>
        <w:t xml:space="preserve"> </w:t>
      </w:r>
      <w:r>
        <w:t xml:space="preserve">Put</w:t>
      </w:r>
      <w:r>
        <w:t xml:space="preserve"> </w:t>
      </w:r>
      <w:r>
        <w:rPr>
          <w:rStyle w:val="VerbatimChar"/>
        </w:rPr>
        <w:t xml:space="preserve">&lt;!-- question-paragraph-ok: reason --&gt;</w:t>
      </w:r>
      <w:r>
        <w:t xml:space="preserve"> </w:t>
      </w:r>
      <w:r>
        <w:t xml:space="preserve">inside an exercise that it misreads.</w:t>
      </w:r>
    </w:p>
    <w:p>
      <w:pPr>
        <w:numPr>
          <w:ilvl w:val="0"/>
          <w:numId w:val="1002"/>
        </w:numPr>
      </w:pPr>
      <w:r>
        <w:t xml:space="preserve">On slides, put a slide break between an exercise and its solution,</w:t>
      </w:r>
      <w:r>
        <w:t xml:space="preserve"> </w:t>
      </w:r>
      <w:r>
        <w:t xml:space="preserve">so the prompt is on screen alone while students work.</w:t>
      </w:r>
    </w:p>
    <w:p>
      <w:pPr>
        <w:numPr>
          <w:ilvl w:val="0"/>
          <w:numId w:val="1002"/>
        </w:numPr>
      </w:pPr>
      <w:r>
        <w:t xml:space="preserve">Give each solution the slug of its exercise, with</w:t>
      </w:r>
      <w:r>
        <w:t xml:space="preserve"> </w:t>
      </w:r>
      <w:r>
        <w:rPr>
          <w:rStyle w:val="VerbatimChar"/>
        </w:rPr>
        <w:t xml:space="preserve">sol-</w:t>
      </w:r>
      <w:r>
        <w:t xml:space="preserve"> </w:t>
      </w:r>
      <w:r>
        <w:t xml:space="preserve">in place of</w:t>
      </w:r>
      <w:r>
        <w:t xml:space="preserve"> </w:t>
      </w:r>
      <w:r>
        <w:rPr>
          <w:rStyle w:val="VerbatimChar"/>
        </w:rPr>
        <w:t xml:space="preserve">exr-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Put a hint in a callout titled</w:t>
      </w:r>
      <w:r>
        <w:t xml:space="preserve"> </w:t>
      </w:r>
      <w:r>
        <w:t xml:space="preserve">“Hint”</w:t>
      </w:r>
      <w:r>
        <w:t xml:space="preserve"> </w:t>
      </w:r>
      <w:r>
        <w:t xml:space="preserve">inside the exercise div,</w:t>
      </w:r>
      <w:r>
        <w:t xml:space="preserve"> </w:t>
      </w:r>
      <w:r>
        <w:t xml:space="preserve">not in italic text.</w:t>
      </w:r>
    </w:p>
    <w:p>
      <w:pPr>
        <w:numPr>
          <w:ilvl w:val="0"/>
          <w:numId w:val="1002"/>
        </w:numPr>
      </w:pPr>
      <w:r>
        <w:t xml:space="preserve">Give every exercise a hint that links to the sections of the notes it draws on (Ezra, 2026-11-04),</w:t>
      </w:r>
      <w:r>
        <w:t xml:space="preserve"> </w:t>
      </w:r>
      <w:r>
        <w:t xml:space="preserve">in a lab as in a homework.</w:t>
      </w:r>
      <w:r>
        <w:t xml:space="preserve"> </w:t>
      </w:r>
      <w:r>
        <w:t xml:space="preserve">Where an exercise asks for code, link the section of the programming primer that introduces each command it needs,</w:t>
      </w:r>
      <w:r>
        <w:t xml:space="preserve"> </w:t>
      </w:r>
      <w:r>
        <w:t xml:space="preserve">and link each definition or result the exercise rests on.</w:t>
      </w:r>
      <w:r>
        <w:t xml:space="preserve"> </w:t>
      </w:r>
      <w:r>
        <w:t xml:space="preserve">Use a direct anchor link on the longest phrase that names the thing,</w:t>
      </w:r>
      <w:r>
        <w:t xml:space="preserve"> </w:t>
      </w:r>
      <w:r>
        <w:t xml:space="preserve">as</w:t>
      </w:r>
      <w:r>
        <w:t xml:space="preserve"> </w:t>
      </w:r>
      <w:hyperlink r:id="rId21">
        <w:r>
          <w:rPr>
            <w:rStyle w:val="Hyperlink"/>
          </w:rPr>
          <w:t xml:space="preserve">Link the words, not a trailing citation</w:t>
        </w:r>
      </w:hyperlink>
      <w:r>
        <w:t xml:space="preserve"> </w:t>
      </w:r>
      <w:r>
        <w:t xml:space="preserve">describes.</w:t>
      </w:r>
      <w:r>
        <w:t xml:space="preserve"> </w:t>
      </w:r>
      <w:r>
        <w:t xml:space="preserve">The hint points the reader to the material and does not give the answer.</w:t>
      </w:r>
    </w:p>
    <w:p>
      <w:pPr>
        <w:numPr>
          <w:ilvl w:val="0"/>
          <w:numId w:val="1002"/>
        </w:numPr>
      </w:pPr>
      <w:r>
        <w:t xml:space="preserve">Where the solution has a tab for each language, a hint that names a command of one language names the other language’s counterpart too (Ezra, 2026-11-04).</w:t>
      </w:r>
      <w:r>
        <w:t xml:space="preserve"> </w:t>
      </w:r>
      <w:r>
        <w:t xml:space="preserve">Say which language each command belongs to, as in</w:t>
      </w:r>
      <w:r>
        <w:t xml:space="preserve"> </w:t>
      </w:r>
      <w:r>
        <w:t xml:space="preserve">“</w:t>
      </w:r>
      <w:r>
        <w:rPr>
          <w:rStyle w:val="VerbatimChar"/>
        </w:rPr>
        <w:t xml:space="preserve">.predict</w:t>
      </w:r>
      <w:r>
        <w:t xml:space="preserve"> </w:t>
      </w:r>
      <w:r>
        <w:t xml:space="preserve">in Python,</w:t>
      </w:r>
      <w:r>
        <w:t xml:space="preserve"> </w:t>
      </w:r>
      <w:r>
        <w:rPr>
          <w:rStyle w:val="VerbatimChar"/>
        </w:rPr>
        <w:t xml:space="preserve">predict()</w:t>
      </w:r>
      <w:r>
        <w:t xml:space="preserve"> </w:t>
      </w:r>
      <w:r>
        <w:t xml:space="preserve">in R”</w:t>
      </w:r>
      <w:r>
        <w:t xml:space="preserve">,</w:t>
      </w:r>
      <w:r>
        <w:t xml:space="preserve"> </w:t>
      </w:r>
      <w:r>
        <w:t xml:space="preserve">and link the primer example whose tabs show both.</w:t>
      </w:r>
      <w:r>
        <w:t xml:space="preserve"> </w:t>
      </w:r>
      <w:r>
        <w:t xml:space="preserve">A reader working in the other language otherwise finds only a name that does not exist in their language.</w:t>
      </w:r>
    </w:p>
    <w:p>
      <w:pPr>
        <w:numPr>
          <w:ilvl w:val="0"/>
          <w:numId w:val="1002"/>
        </w:numPr>
      </w:pPr>
      <w:r>
        <w:t xml:space="preserve">Give each exercise the background that its title implies, and say why the reader should care (Ezra, 2026-10-29).</w:t>
      </w:r>
      <w:r>
        <w:t xml:space="preserve"> </w:t>
      </w:r>
      <w:r>
        <w:t xml:space="preserve">Whatever the title tells the reader about the object, the body also says:</w:t>
      </w:r>
      <w:r>
        <w:t xml:space="preserve"> </w:t>
      </w:r>
      <w:r>
        <w:t xml:space="preserve">name the object, link its definition, and say where it arises and what it is used for.</w:t>
      </w:r>
      <w:r>
        <w:t xml:space="preserve"> </w:t>
      </w:r>
      <w:r>
        <w:t xml:space="preserve">For a title such as</w:t>
      </w:r>
      <w:r>
        <w:t xml:space="preserve"> </w:t>
      </w:r>
      <w:r>
        <w:t xml:space="preserve">“Maximizing a gamma-family kernel”</w:t>
      </w:r>
      <w:r>
        <w:t xml:space="preserve">,</w:t>
      </w:r>
      <w:r>
        <w:t xml:space="preserve"> </w:t>
      </w:r>
      <w:r>
        <w:t xml:space="preserve">the body says what a gamma distribution and its kernel are,</w:t>
      </w:r>
      <w:r>
        <w:t xml:space="preserve"> </w:t>
      </w:r>
      <w:r>
        <w:t xml:space="preserve">and that maximizing the kernel finds the mode without computing the normalizing constant.</w:t>
      </w:r>
      <w:r>
        <w:t xml:space="preserve"> </w:t>
      </w:r>
      <w:r>
        <w:t xml:space="preserve">A body that only restates the formula leaves a reader who skipped the title with a formula and no reason to care.</w:t>
      </w:r>
      <w:r>
        <w:t xml:space="preserve"> </w:t>
      </w:r>
      <w:r>
        <w:t xml:space="preserve">The first exercise of a split series carries the background,</w:t>
      </w:r>
      <w:r>
        <w:t xml:space="preserve"> </w:t>
      </w:r>
      <w:r>
        <w:t xml:space="preserve">and each later exercise begins by citing it, as the splitting rule above says.</w:t>
      </w:r>
    </w:p>
    <w:bookmarkStart w:id="22" w:name="exm-exercise-before-definition"/>
    <w:p>
      <w:pPr>
        <w:pStyle w:val="FirstParagraph"/>
      </w:pPr>
      <w:r>
        <w:rPr>
          <w:b/>
          <w:bCs/>
        </w:rPr>
        <w:t xml:space="preserve">Example 1 (Asking before defining)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  <w:r>
        <w:t xml:space="preserve"> </w:t>
      </w:r>
      <w:r>
        <w:rPr>
          <w:b/>
          <w:bCs/>
        </w:rPr>
        <w:t xml:space="preserve">Generalization</w:t>
      </w:r>
      <w:r>
        <w:t xml:space="preserve"> </w:t>
      </w:r>
      <w:r>
        <w:t xml:space="preserve">is the ability of a model to perform well on new data.</w:t>
      </w:r>
      <w:r>
        <w:t xml:space="preserve"> </w:t>
      </w:r>
    </w:p>
    <w:p>
      <w:pPr>
        <w:pStyle w:val="BlockText"/>
      </w:pPr>
      <w:r>
        <w:t xml:space="preserve">✅</w:t>
      </w:r>
    </w:p>
    <w:p>
      <w:pPr>
        <w:pStyle w:val="SourceCode"/>
      </w:pPr>
      <w:r>
        <w:rPr>
          <w:rStyle w:val="NormalTok"/>
        </w:rPr>
        <w:t xml:space="preserve">::: {#exr-generalization}</w:t>
      </w:r>
      <w:r>
        <w:br/>
      </w:r>
      <w:r>
        <w:rPr>
          <w:rStyle w:val="NormalTok"/>
        </w:rPr>
        <w:t xml:space="preserve">What does it mean for a model to generalize?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::: {#sol-generalization}</w:t>
      </w:r>
      <w:r>
        <w:br/>
      </w:r>
      <w:r>
        <w:rPr>
          <w:rStyle w:val="NormalTok"/>
        </w:rPr>
        <w:t xml:space="preserve">A model generalizes when it predicts well on data it was not fit to.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::: {#def-generalization}</w:t>
      </w:r>
      <w:r>
        <w:br/>
      </w:r>
      <w:r>
        <w:rPr>
          <w:rStyle w:val="NormalTok"/>
        </w:rPr>
        <w:t xml:space="preserve">(the formal definition)</w:t>
      </w:r>
      <w:r>
        <w:br/>
      </w:r>
      <w:r>
        <w:rPr>
          <w:rStyle w:val="NormalTok"/>
        </w:rPr>
        <w:t xml:space="preserve">:::</w:t>
      </w:r>
    </w:p>
    <w:p>
      <w:pPr>
        <w:pStyle w:val="FirstParagraph"/>
      </w:pPr>
      <w:r>
        <w:t xml:space="preserve">The revised version lets students attempt the idea</w:t>
      </w:r>
      <w:r>
        <w:t xml:space="preserve"> </w:t>
      </w:r>
      <w:r>
        <w:t xml:space="preserve">before they see the formal definition.</w:t>
      </w:r>
    </w:p>
    <w:bookmarkEnd w:id="22"/>
    <w:bookmarkEnd w:id="23"/>
    <w:bookmarkStart w:id="30" w:name="Xb68f5757ebba706c680e7c5ed557ac14973d7af"/>
    <w:p>
      <w:pPr>
        <w:pStyle w:val="Heading1"/>
      </w:pPr>
      <w:r>
        <w:t xml:space="preserve">3. Build every unit from smaller atomic units</w:t>
      </w:r>
    </w:p>
    <w:p>
      <w:pPr>
        <w:pStyle w:val="FirstParagraph"/>
      </w:pPr>
      <w:r>
        <w:t xml:space="preserve">Make every unit of analysis as concise and minimal as possible.</w:t>
      </w:r>
      <w:r>
        <w:t xml:space="preserve"> </w:t>
      </w:r>
      <w:r>
        <w:t xml:space="preserve">The units are mathematical expressions and divs of every kind:</w:t>
      </w:r>
      <w:r>
        <w:t xml:space="preserve"> </w:t>
      </w:r>
      <w:r>
        <w:t xml:space="preserve">definitions, theorems, lemmas, corollaries, examples, remarks and proofs.</w:t>
      </w:r>
      <w:r>
        <w:t xml:space="preserve"> </w:t>
      </w:r>
      <w:r>
        <w:t xml:space="preserve">When a unit grows complicated, do not write the complexity into it.</w:t>
      </w:r>
      <w:r>
        <w:t xml:space="preserve"> </w:t>
      </w:r>
      <w:r>
        <w:t xml:space="preserve">Abstract the complexity out into smaller, atomic definitions, results and expressions,</w:t>
      </w:r>
      <w:r>
        <w:t xml:space="preserve"> </w:t>
      </w:r>
      <w:r>
        <w:t xml:space="preserve">each with its own name and identifier,</w:t>
      </w:r>
      <w:r>
        <w:t xml:space="preserve"> </w:t>
      </w:r>
      <w:r>
        <w:t xml:space="preserve">and glue the pieces together with hyperlinks.</w:t>
      </w:r>
    </w:p>
    <w:p>
      <w:pPr>
        <w:pStyle w:val="BodyText"/>
      </w:pPr>
      <w:r>
        <w:t xml:space="preserve">This is the compositional approach of</w:t>
      </w:r>
      <w:r>
        <w:t xml:space="preserve"> </w:t>
      </w:r>
      <w:hyperlink r:id="rId24">
        <w:r>
          <w:rPr>
            <w:rStyle w:val="Hyperlink"/>
          </w:rPr>
          <w:t xml:space="preserve">modular programming</w:t>
        </w:r>
      </w:hyperlink>
      <w:r>
        <w:t xml:space="preserve">:</w:t>
      </w:r>
      <w:r>
        <w:t xml:space="preserve"> </w:t>
      </w:r>
      <w:r>
        <w:t xml:space="preserve">a program is built from small, single-purpose modules that call one another,</w:t>
      </w:r>
      <w:r>
        <w:t xml:space="preserve"> </w:t>
      </w:r>
      <w:r>
        <w:t xml:space="preserve">and a maintainer changes one module without reading the rest.</w:t>
      </w:r>
      <w:r>
        <w:t xml:space="preserve"> </w:t>
      </w:r>
      <w:r>
        <w:t xml:space="preserve">The notes work the same way.</w:t>
      </w:r>
      <w:r>
        <w:t xml:space="preserve"> </w:t>
      </w:r>
      <w:r>
        <w:t xml:space="preserve">A theorem links to the definitions it uses,</w:t>
      </w:r>
      <w:r>
        <w:t xml:space="preserve"> </w:t>
      </w:r>
      <w:r>
        <w:t xml:space="preserve">a proof links to the lemmas it uses,</w:t>
      </w:r>
      <w:r>
        <w:t xml:space="preserve"> </w:t>
      </w:r>
      <w:r>
        <w:t xml:space="preserve">and an expression is written with the named pieces it is built from.</w:t>
      </w:r>
    </w:p>
    <w:p>
      <w:pPr>
        <w:pStyle w:val="Compact"/>
        <w:numPr>
          <w:ilvl w:val="0"/>
          <w:numId w:val="1004"/>
        </w:numPr>
      </w:pPr>
      <w:r>
        <w:t xml:space="preserve">A display holds one idea.</w:t>
      </w:r>
      <w:r>
        <w:t xml:space="preserve"> </w:t>
      </w:r>
      <w:r>
        <w:t xml:space="preserve">Name each meaningful sub-expression, give it a macro,</w:t>
      </w:r>
      <w:r>
        <w:t xml:space="preserve"> </w:t>
      </w:r>
      <w:r>
        <w:t xml:space="preserve">and build the display from the names</w:t>
      </w:r>
      <w:r>
        <w:t xml:space="preserve"> </w:t>
      </w:r>
      <w:r>
        <w:t xml:space="preserve">(see</w:t>
      </w:r>
      <w:r>
        <w:t xml:space="preserve"> </w:t>
      </w:r>
      <w:hyperlink r:id="rId25">
        <w:r>
          <w:rPr>
            <w:rStyle w:val="Hyperlink"/>
          </w:rPr>
          <w:t xml:space="preserve">Making expressions concise</w:t>
        </w:r>
      </w:hyperlink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A div holds one</w:t>
      </w:r>
      <w:r>
        <w:t xml:space="preserve"> </w:t>
      </w:r>
      <w:hyperlink r:id="rId12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or one result.</w:t>
      </w:r>
      <w:r>
        <w:t xml:space="preserve"> </w:t>
      </w:r>
      <w:r>
        <w:t xml:space="preserve">Move a second term, a side property or a long argument into its own div,</w:t>
      </w:r>
      <w:r>
        <w:t xml:space="preserve"> </w:t>
      </w:r>
      <w:r>
        <w:t xml:space="preserve">and link to it from the place that needs it</w:t>
      </w:r>
      <w:r>
        <w:t xml:space="preserve"> </w:t>
      </w:r>
      <w:r>
        <w:t xml:space="preserve">(see</w:t>
      </w:r>
      <w:r>
        <w:t xml:space="preserve"> </w:t>
      </w:r>
      <w:hyperlink w:anchor="give-each-defined-term-its-own-div">
        <w:r>
          <w:rPr>
            <w:rStyle w:val="Hyperlink"/>
          </w:rPr>
          <w:t xml:space="preserve">Give each defined term its own div</w:t>
        </w:r>
      </w:hyperlink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A theorem-type div states the result and its hypotheses, and no reasoning.</w:t>
      </w:r>
      <w:r>
        <w:t xml:space="preserve"> </w:t>
      </w:r>
      <w:r>
        <w:t xml:space="preserve">Words that justify the claim (</w:t>
      </w:r>
      <w:r>
        <w:t xml:space="preserve">“so”</w:t>
      </w:r>
      <w:r>
        <w:t xml:space="preserve">,</w:t>
      </w:r>
      <w:r>
        <w:t xml:space="preserve"> </w:t>
      </w:r>
      <w:r>
        <w:t xml:space="preserve">“because”</w:t>
      </w:r>
      <w:r>
        <w:t xml:space="preserve">,</w:t>
      </w:r>
      <w:r>
        <w:t xml:space="preserve"> </w:t>
      </w:r>
      <w:r>
        <w:t xml:space="preserve">“hence”</w:t>
      </w:r>
      <w:r>
        <w:t xml:space="preserve">,</w:t>
      </w:r>
      <w:r>
        <w:t xml:space="preserve"> </w:t>
      </w:r>
      <w:r>
        <w:t xml:space="preserve">“therefore”</w:t>
      </w:r>
      <w:r>
        <w:t xml:space="preserve">,</w:t>
      </w:r>
      <w:r>
        <w:t xml:space="preserve"> </w:t>
      </w:r>
      <w:r>
        <w:t xml:space="preserve">“since”</w:t>
      </w:r>
      <w:r>
        <w:t xml:space="preserve">) belong in the proof.</w:t>
      </w:r>
    </w:p>
    <w:p>
      <w:pPr>
        <w:pStyle w:val="Compact"/>
        <w:numPr>
          <w:ilvl w:val="0"/>
          <w:numId w:val="1004"/>
        </w:numPr>
      </w:pPr>
      <w:r>
        <w:t xml:space="preserve">A proof states the lemmas it needs and links to them,</w:t>
      </w:r>
      <w:r>
        <w:t xml:space="preserve"> </w:t>
      </w:r>
      <w:r>
        <w:t xml:space="preserve">instead of deriving them in the middle of the argument.</w:t>
      </w:r>
    </w:p>
    <w:p>
      <w:pPr>
        <w:pStyle w:val="Compact"/>
        <w:numPr>
          <w:ilvl w:val="0"/>
          <w:numId w:val="1004"/>
        </w:numPr>
      </w:pPr>
      <w:r>
        <w:t xml:space="preserve">Extract a lemma wherever feasible.</w:t>
      </w:r>
      <w:r>
        <w:t xml:space="preserve"> </w:t>
      </w:r>
      <w:r>
        <w:t xml:space="preserve">When a proof, solution or example states a general fact that does not depend on its setting,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Z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Z</m:t>
            </m:r>
          </m:e>
        </m:d>
        <m:r>
          <m:t>​</m:t>
        </m:r>
        <m:r>
          <m:rPr>
            <m:sty m:val="p"/>
          </m:rPr>
          <m:t>+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cr m:val="double-struck"/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Z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 any random variable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give the fact its own lemma div before its first use,</w:t>
      </w:r>
      <w:r>
        <w:t xml:space="preserve"> </w:t>
      </w:r>
      <w:r>
        <w:t xml:space="preserve">and link to it from each place that uses it.</w:t>
      </w:r>
      <w:r>
        <w:t xml:space="preserve"> </w:t>
      </w:r>
      <w:r>
        <w:t xml:space="preserve">Put the lemma on the prerequisite site that owns the topic</w:t>
      </w:r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mds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pds</w:t>
        </w:r>
      </w:hyperlink>
      <w:r>
        <w:t xml:space="preserve"> </w:t>
      </w:r>
      <w:r>
        <w:t xml:space="preserve">or</w:t>
      </w:r>
      <w:r>
        <w:t xml:space="preserve"> </w:t>
      </w:r>
      <w:hyperlink r:id="rId28">
        <w:r>
          <w:rPr>
            <w:rStyle w:val="Hyperlink"/>
          </w:rPr>
          <w:t xml:space="preserve">sds</w:t>
        </w:r>
      </w:hyperlink>
      <w:r>
        <w:t xml:space="preserve">),</w:t>
      </w:r>
      <w:r>
        <w:t xml:space="preserve"> </w:t>
      </w:r>
      <w:r>
        <w:t xml:space="preserve">not in the course page that needs it.</w:t>
      </w:r>
      <w:r>
        <w:t xml:space="preserve"> </w:t>
      </w:r>
      <w:r>
        <w:t xml:space="preserve">Extract a lemma from a passage when you edit that passage anyway,</w:t>
      </w:r>
      <w:r>
        <w:t xml:space="preserve"> </w:t>
      </w:r>
      <w:r>
        <w:t xml:space="preserve">and do not sweep existing content.</w:t>
      </w:r>
    </w:p>
    <w:p>
      <w:pPr>
        <w:pStyle w:val="Compact"/>
        <w:numPr>
          <w:ilvl w:val="0"/>
          <w:numId w:val="1004"/>
        </w:numPr>
      </w:pPr>
      <w:r>
        <w:t xml:space="preserve">A link replaces a repeated explanation.</w:t>
      </w:r>
      <w:r>
        <w:t xml:space="preserve"> </w:t>
      </w:r>
      <w:r>
        <w:t xml:space="preserve">If a piece is already written, link to it instead of writing it a second time.</w:t>
      </w:r>
    </w:p>
    <w:p>
      <w:pPr>
        <w:pStyle w:val="FirstParagraph"/>
      </w:pPr>
      <w:r>
        <w:t xml:space="preserve">When a unit still looks long, ask what could be named and moved out.</w:t>
      </w:r>
    </w:p>
    <w:bookmarkStart w:id="29" w:name="exm-atomic-units"/>
    <w:p>
      <w:pPr>
        <w:pStyle w:val="BodyText"/>
      </w:pPr>
      <w:r>
        <w:rPr>
          <w:b/>
          <w:bCs/>
        </w:rPr>
        <w:t xml:space="preserve">Example 2 (Splitting one long definition)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One div defines the ridge estimator, defines its penalty, and proves that it shrinks the coefficients.</w:t>
      </w:r>
    </w:p>
    <w:p>
      <w:pPr>
        <w:pStyle w:val="BlockText"/>
      </w:pPr>
      <w:r>
        <w:t xml:space="preserve">✅ Three divs: a definition of the penalty, a definition of the ridge estimator that links to the penalty, and a theorem on shrinkage that links to both.</w:t>
      </w:r>
    </w:p>
    <w:p>
      <w:pPr>
        <w:pStyle w:val="FirstParagraph"/>
      </w:pPr>
      <w:r>
        <w:t xml:space="preserve">The ✅ version lets a later chapter link to the penalty alone,</w:t>
      </w:r>
      <w:r>
        <w:t xml:space="preserve"> </w:t>
      </w:r>
      <w:r>
        <w:t xml:space="preserve">and each piece fits on a slide.</w:t>
      </w:r>
    </w:p>
    <w:bookmarkEnd w:id="29"/>
    <w:bookmarkEnd w:id="30"/>
    <w:bookmarkStart w:id="32" w:name="say-what-a-yes-or-no-answer-means"/>
    <w:p>
      <w:pPr>
        <w:pStyle w:val="Heading1"/>
      </w:pPr>
      <w:r>
        <w:t xml:space="preserve">4. Say what a yes-or-no answer means</w:t>
      </w:r>
    </w:p>
    <w:p>
      <w:pPr>
        <w:pStyle w:val="FirstParagraph"/>
      </w:pPr>
      <w:r>
        <w:t xml:space="preserve">Follow a</w:t>
      </w:r>
      <w:r>
        <w:t xml:space="preserve"> </w:t>
      </w:r>
      <w:r>
        <w:t xml:space="preserve">“Yes”</w:t>
      </w:r>
      <w:r>
        <w:t xml:space="preserve"> </w:t>
      </w:r>
      <w:r>
        <w:t xml:space="preserve">or</w:t>
      </w:r>
      <w:r>
        <w:t xml:space="preserve"> </w:t>
      </w:r>
      <w:r>
        <w:t xml:space="preserve">“No”</w:t>
      </w:r>
      <w:r>
        <w:t xml:space="preserve"> </w:t>
      </w:r>
      <w:r>
        <w:t xml:space="preserve">with what the answer means in the words of the question,</w:t>
      </w:r>
      <w:r>
        <w:t xml:space="preserve"> </w:t>
      </w:r>
      <w:r>
        <w:t xml:space="preserve">as in</w:t>
      </w:r>
      <w:r>
        <w:t xml:space="preserve"> </w:t>
      </w:r>
      <w:r>
        <w:t xml:space="preserve">“No: it’s not possible that the advanced network has a test error of 0.25,”</w:t>
      </w:r>
      <w:r>
        <w:t xml:space="preserve"> </w:t>
      </w:r>
      <w:r>
        <w:t xml:space="preserve">not a bare</w:t>
      </w:r>
      <w:r>
        <w:t xml:space="preserve"> </w:t>
      </w:r>
      <w:r>
        <w:t xml:space="preserve">“No.”</w:t>
      </w:r>
      <w:r>
        <w:t xml:space="preserve"> </w:t>
      </w:r>
      <w:r>
        <w:t xml:space="preserve">(Ezra, 2026-10-28).</w:t>
      </w:r>
      <w:r>
        <w:t xml:space="preserve"> </w:t>
      </w:r>
      <w:r>
        <w:t xml:space="preserve">A reader who sees only the first line then still knows what the answer claims,</w:t>
      </w:r>
      <w:r>
        <w:t xml:space="preserve"> </w:t>
      </w:r>
      <w:r>
        <w:t xml:space="preserve">and a bare</w:t>
      </w:r>
      <w:r>
        <w:t xml:space="preserve"> </w:t>
      </w:r>
      <w:r>
        <w:t xml:space="preserve">“No.”</w:t>
      </w:r>
      <w:r>
        <w:t xml:space="preserve"> </w:t>
      </w:r>
      <w:r>
        <w:t xml:space="preserve">leaves open what is being denied.</w:t>
      </w:r>
      <w:r>
        <w:t xml:space="preserve"> </w:t>
      </w:r>
      <w:r>
        <w:t xml:space="preserve">The rule covers solutions, worked examples and any other answer to a question.</w:t>
      </w:r>
    </w:p>
    <w:bookmarkStart w:id="31" w:name="exm-yes-no-conclusion"/>
    <w:p>
      <w:pPr>
        <w:pStyle w:val="BodyText"/>
      </w:pPr>
      <w:r>
        <w:rPr>
          <w:b/>
          <w:bCs/>
        </w:rPr>
        <w:t xml:space="preserve">Example 3 (Saying what a</w:t>
      </w:r>
      <w:r>
        <w:rPr>
          <w:b/>
          <w:bCs/>
        </w:rPr>
        <w:t xml:space="preserve"> </w:t>
      </w:r>
      <w:r>
        <w:rPr>
          <w:b/>
          <w:bCs/>
        </w:rPr>
        <w:t xml:space="preserve">“No”</w:t>
      </w:r>
      <w:r>
        <w:rPr>
          <w:b/>
          <w:bCs/>
        </w:rPr>
        <w:t xml:space="preserve"> </w:t>
      </w:r>
      <w:r>
        <w:rPr>
          <w:b/>
          <w:bCs/>
        </w:rPr>
        <w:t xml:space="preserve">means)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No. The irreducible error is a lower bound on the expected squared prediction error.</w:t>
      </w:r>
    </w:p>
    <w:p>
      <w:pPr>
        <w:pStyle w:val="BlockText"/>
      </w:pPr>
      <w:r>
        <w:t xml:space="preserve">✅ No: it’s not possible that the advanced network has a test error of 0.25.</w:t>
      </w:r>
      <w:r>
        <w:t xml:space="preserve"> </w:t>
      </w:r>
      <w:r>
        <w:t xml:space="preserve">The irreducible error is a lower bound on the expected squared prediction error.</w:t>
      </w:r>
    </w:p>
    <w:p>
      <w:pPr>
        <w:pStyle w:val="FirstParagraph"/>
      </w:pPr>
      <w:r>
        <w:t xml:space="preserve">The ✅ version states the conclusion in the question’s own words,</w:t>
      </w:r>
      <w:r>
        <w:t xml:space="preserve"> </w:t>
      </w:r>
      <w:r>
        <w:t xml:space="preserve">so the reasons that follow support a claim the reader has already seen.</w:t>
      </w:r>
    </w:p>
    <w:bookmarkEnd w:id="31"/>
    <w:bookmarkEnd w:id="32"/>
    <w:bookmarkStart w:id="33" w:name="Xcb2ea076bd2bdcde187ea355befd37150b69b89"/>
    <w:p>
      <w:pPr>
        <w:pStyle w:val="Heading1"/>
      </w:pPr>
      <w:r>
        <w:t xml:space="preserve">5. Give each question’s answer its own paragraph</w:t>
      </w:r>
    </w:p>
    <w:p>
      <w:pPr>
        <w:pStyle w:val="FirstParagraph"/>
      </w:pPr>
      <w:r>
        <w:t xml:space="preserve">When a prompt asks several questions, answer each one in its own paragraph, or in several paragraphs if it needs them</w:t>
      </w:r>
      <w:r>
        <w:t xml:space="preserve"> </w:t>
      </w:r>
      <w:r>
        <w:t xml:space="preserve">(Ezra, 2026-10-28).</w:t>
      </w:r>
      <w:r>
        <w:t xml:space="preserve"> </w:t>
      </w:r>
      <w:r>
        <w:t xml:space="preserve">A solution to</w:t>
      </w:r>
      <w:r>
        <w:t xml:space="preserve"> </w:t>
      </w:r>
      <w:r>
        <w:t xml:space="preserve">“Which model underfits, which overfits most, and which would you choose?”</w:t>
      </w:r>
      <w:r>
        <w:t xml:space="preserve"> </w:t>
      </w:r>
      <w:r>
        <w:t xml:space="preserve">has one paragraph for the underfitting model, one for the overfitting model and one for the choice.</w:t>
      </w:r>
      <w:r>
        <w:t xml:space="preserve"> </w:t>
      </w:r>
      <w:r>
        <w:t xml:space="preserve">A reader looking for one answer then finds it without reading the others.</w:t>
      </w:r>
      <w:r>
        <w:t xml:space="preserve"> </w:t>
      </w:r>
      <w:r>
        <w:t xml:space="preserve">No automated check enforces this rule, because a script cannot tell how many questions a prompt asks.</w:t>
      </w:r>
    </w:p>
    <w:bookmarkEnd w:id="33"/>
    <w:bookmarkStart w:id="36" w:name="give-each-defined-term-its-own-div"/>
    <w:p>
      <w:pPr>
        <w:pStyle w:val="Heading1"/>
      </w:pPr>
      <w:r>
        <w:t xml:space="preserve">6. Give each defined term its own div</w:t>
      </w:r>
    </w:p>
    <w:p>
      <w:pPr>
        <w:pStyle w:val="FirstParagraph"/>
      </w:pPr>
      <w:hyperlink r:id="rId34">
        <w:r>
          <w:rPr>
            <w:rStyle w:val="Hyperlink"/>
          </w:rPr>
          <w:t xml:space="preserve">Defining terms clearly</w:t>
        </w:r>
      </w:hyperlink>
      <w:r>
        <w:t xml:space="preserve"> </w:t>
      </w:r>
      <w:r>
        <w:t xml:space="preserve">covers what a good definition contains.</w:t>
      </w:r>
      <w:r>
        <w:t xml:space="preserve"> </w:t>
      </w:r>
      <w:r>
        <w:t xml:space="preserve">For teaching materials, four further rules keep definitions findable.</w:t>
      </w:r>
    </w:p>
    <w:p>
      <w:pPr>
        <w:pStyle w:val="Compact"/>
        <w:numPr>
          <w:ilvl w:val="0"/>
          <w:numId w:val="1005"/>
        </w:numPr>
      </w:pPr>
      <w:r>
        <w:t xml:space="preserve">Replace a bolded keyword in running prose with a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 </w:t>
      </w:r>
      <w:r>
        <w:t xml:space="preserve">div.</w:t>
      </w:r>
      <w:r>
        <w:t xml:space="preserve"> </w:t>
      </w:r>
      <w:r>
        <w:t xml:space="preserve">A bolded keyword usually marks an inline definition.</w:t>
      </w:r>
    </w:p>
    <w:p>
      <w:pPr>
        <w:pStyle w:val="Compact"/>
        <w:numPr>
          <w:ilvl w:val="0"/>
          <w:numId w:val="1005"/>
        </w:numPr>
      </w:pPr>
      <w:r>
        <w:t xml:space="preserve">Define one term per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 </w:t>
      </w:r>
      <w:r>
        <w:t xml:space="preserve">div.</w:t>
      </w:r>
      <w:r>
        <w:t xml:space="preserve"> </w:t>
      </w:r>
      <w:r>
        <w:t xml:space="preserve">A term defined inside another term’s div, or two terms joined in one title</w:t>
      </w:r>
      <w:r>
        <w:t xml:space="preserve"> </w:t>
      </w:r>
      <w:r>
        <w:t xml:space="preserve">(</w:t>
      </w:r>
      <w:r>
        <w:t xml:space="preserve">“Regression and classification”</w:t>
      </w:r>
      <w:r>
        <w:t xml:space="preserve">), has no identifier of its own,</w:t>
      </w:r>
      <w:r>
        <w:t xml:space="preserve"> </w:t>
      </w:r>
      <w:r>
        <w:t xml:space="preserve">so nothing can link to it.</w:t>
      </w:r>
    </w:p>
    <w:p>
      <w:pPr>
        <w:pStyle w:val="Compact"/>
        <w:numPr>
          <w:ilvl w:val="0"/>
          <w:numId w:val="1005"/>
        </w:numPr>
      </w:pPr>
      <w:r>
        <w:t xml:space="preserve">Never nest one theorem-type div inside another.</w:t>
      </w:r>
      <w:r>
        <w:t xml:space="preserve"> </w:t>
      </w:r>
      <w:r>
        <w:t xml:space="preserve">The rule covers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,</w:t>
      </w:r>
      <w:r>
        <w:t xml:space="preserve"> </w:t>
      </w:r>
      <w:r>
        <w:rPr>
          <w:rStyle w:val="VerbatimChar"/>
        </w:rPr>
        <w:t xml:space="preserve">#thm-</w:t>
      </w:r>
      <w:r>
        <w:t xml:space="preserve">,</w:t>
      </w:r>
      <w:r>
        <w:t xml:space="preserve"> </w:t>
      </w:r>
      <w:r>
        <w:rPr>
          <w:rStyle w:val="VerbatimChar"/>
        </w:rPr>
        <w:t xml:space="preserve">#lem-</w:t>
      </w:r>
      <w:r>
        <w:t xml:space="preserve">,</w:t>
      </w:r>
      <w:r>
        <w:t xml:space="preserve"> </w:t>
      </w:r>
      <w:r>
        <w:rPr>
          <w:rStyle w:val="VerbatimChar"/>
        </w:rPr>
        <w:t xml:space="preserve">#cor-</w:t>
      </w:r>
      <w:r>
        <w:t xml:space="preserve">,</w:t>
      </w:r>
      <w:r>
        <w:t xml:space="preserve"> </w:t>
      </w:r>
      <w:r>
        <w:rPr>
          <w:rStyle w:val="VerbatimChar"/>
        </w:rPr>
        <w:t xml:space="preserve">#prp-</w:t>
      </w:r>
      <w:r>
        <w:t xml:space="preserve">,</w:t>
      </w:r>
      <w:r>
        <w:t xml:space="preserve"> </w:t>
      </w:r>
      <w:r>
        <w:rPr>
          <w:rStyle w:val="VerbatimChar"/>
        </w:rPr>
        <w:t xml:space="preserve">#cnj-</w:t>
      </w:r>
      <w:r>
        <w:t xml:space="preserve">,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,</w:t>
      </w:r>
      <w:r>
        <w:t xml:space="preserve"> </w:t>
      </w:r>
      <w:r>
        <w:rPr>
          <w:rStyle w:val="VerbatimChar"/>
        </w:rPr>
        <w:t xml:space="preserve">#rem-</w:t>
      </w:r>
      <w:r>
        <w:t xml:space="preserve">,</w:t>
      </w:r>
      <w:r>
        <w:t xml:space="preserve"> </w:t>
      </w:r>
      <w:r>
        <w:rPr>
          <w:rStyle w:val="VerbatimChar"/>
        </w:rPr>
        <w:t xml:space="preserve">#exr-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#sol-</w:t>
      </w:r>
      <w:r>
        <w:t xml:space="preserve">.</w:t>
      </w:r>
      <w:r>
        <w:t xml:space="preserve"> </w:t>
      </w:r>
      <w:r>
        <w:t xml:space="preserve">A special case, such as a linear evaluation</w:t>
      </w:r>
      <w:r>
        <w:t xml:space="preserve"> </w:t>
      </w:r>
      <w:hyperlink r:id="rId35">
        <w:r>
          <w:rPr>
            <w:rStyle w:val="Hyperlink"/>
          </w:rPr>
          <w:t xml:space="preserve">function</w:t>
        </w:r>
      </w:hyperlink>
      <w:r>
        <w:t xml:space="preserve">,</w:t>
      </w:r>
      <w:r>
        <w:t xml:space="preserve"> </w:t>
      </w:r>
      <w:r>
        <w:t xml:space="preserve">gets its own div after the general case, and the two link to each other.</w:t>
      </w:r>
    </w:p>
    <w:p>
      <w:pPr>
        <w:pStyle w:val="Compact"/>
        <w:numPr>
          <w:ilvl w:val="0"/>
          <w:numId w:val="1005"/>
        </w:numPr>
      </w:pPr>
      <w:r>
        <w:t xml:space="preserve">Keep only the definition in a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 </w:t>
      </w:r>
      <w:r>
        <w:t xml:space="preserve">div.</w:t>
      </w:r>
      <w:r>
        <w:t xml:space="preserve"> </w:t>
      </w:r>
      <w:r>
        <w:t xml:space="preserve">Put the properties of the defined object, such as the symmetry and idempotence of a matrix,</w:t>
      </w:r>
      <w:r>
        <w:t xml:space="preserve"> </w:t>
      </w:r>
      <w:r>
        <w:t xml:space="preserve">in a separate</w:t>
      </w:r>
      <w:r>
        <w:t xml:space="preserve"> </w:t>
      </w:r>
      <w:r>
        <w:rPr>
          <w:rStyle w:val="VerbatimChar"/>
        </w:rPr>
        <w:t xml:space="preserve">#thm-</w:t>
      </w:r>
      <w:r>
        <w:t xml:space="preserve">,</w:t>
      </w:r>
      <w:r>
        <w:t xml:space="preserve"> </w:t>
      </w:r>
      <w:r>
        <w:rPr>
          <w:rStyle w:val="VerbatimChar"/>
        </w:rPr>
        <w:t xml:space="preserve">#lem-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#prp-</w:t>
      </w:r>
      <w:r>
        <w:t xml:space="preserve"> </w:t>
      </w:r>
      <w:r>
        <w:t xml:space="preserve">div after it, with a proof where one is known.</w:t>
      </w:r>
      <w:r>
        <w:t xml:space="preserve"> </w:t>
      </w:r>
      <w:r>
        <w:t xml:space="preserve">Each abstract div then gets its own example, as the rule below requires.</w:t>
      </w:r>
    </w:p>
    <w:p>
      <w:pPr>
        <w:pStyle w:val="FirstParagraph"/>
      </w:pPr>
      <w:r>
        <w:t xml:space="preserve">Every alternative name for the same concept stays in the div of the term it names</w:t>
      </w:r>
      <w:r>
        <w:t xml:space="preserve"> </w:t>
      </w:r>
      <w:r>
        <w:t xml:space="preserve">and is treated like the primary name:</w:t>
      </w:r>
      <w:r>
        <w:t xml:space="preserve"> </w:t>
      </w:r>
      <w:r>
        <w:t xml:space="preserve">it appears in the div title and is bold where it first appears in the definition.</w:t>
      </w:r>
      <w:r>
        <w:t xml:space="preserve"> </w:t>
      </w:r>
      <w:r>
        <w:t xml:space="preserve">Name synonyms and near-synonyms where the term is defined,</w:t>
      </w:r>
      <w:r>
        <w:t xml:space="preserve"> </w:t>
      </w:r>
      <w:r>
        <w:t xml:space="preserve">and say which one the notes use.</w:t>
      </w:r>
      <w:r>
        <w:t xml:space="preserve"> </w:t>
      </w:r>
      <w:r>
        <w:t xml:space="preserve">A student who encounters one name here and another in a textbook</w:t>
      </w:r>
      <w:r>
        <w:t xml:space="preserve"> </w:t>
      </w:r>
      <w:r>
        <w:t xml:space="preserve">cannot tell whether the difference matters.</w:t>
      </w:r>
      <w:r>
        <w:t xml:space="preserve"> </w:t>
      </w:r>
      <w:r>
        <w:t xml:space="preserve">For a near-synonym, name the seam:</w:t>
      </w:r>
      <w:r>
        <w:t xml:space="preserve"> </w:t>
      </w:r>
      <w:r>
        <w:t xml:space="preserve">critical points include the stationary points</w:t>
      </w:r>
      <w:r>
        <w:t xml:space="preserve"> </w:t>
      </w:r>
      <w:r>
        <w:t xml:space="preserve">and also the points where the derivative does not exist.</w:t>
      </w:r>
    </w:p>
    <w:bookmarkEnd w:id="36"/>
    <w:bookmarkStart w:id="37" w:name="state-the-notation-and-its-alternatives"/>
    <w:p>
      <w:pPr>
        <w:pStyle w:val="Heading1"/>
      </w:pPr>
      <w:r>
        <w:t xml:space="preserve">7. State the notation and its alternatives</w:t>
      </w:r>
    </w:p>
    <w:p>
      <w:pPr>
        <w:pStyle w:val="FirstParagraph"/>
      </w:pPr>
      <w:r>
        <w:t xml:space="preserve">When a symbol or convention has more than one common form,</w:t>
      </w:r>
      <w:r>
        <w:t xml:space="preserve"> </w:t>
      </w:r>
      <w:r>
        <w:t xml:space="preserve">state the one the notes use and name the others a reader will encounter elsewhere.</w:t>
      </w:r>
      <w:r>
        <w:t xml:space="preserve"> </w:t>
      </w:r>
      <w:r>
        <w:t xml:space="preserve">Put the alternatives in the definition div or in a callout beside it.</w:t>
      </w:r>
      <w:r>
        <w:t xml:space="preserve"> </w:t>
      </w:r>
      <w:r>
        <w:t xml:space="preserve">For example, some sources include 0 in the natural numbers and others exclude it,</w:t>
      </w:r>
      <w:r>
        <w:t xml:space="preserve"> </w:t>
      </w:r>
      <w:r>
        <w:t xml:space="preserve">so write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N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to make the choice explicit.</w:t>
      </w:r>
    </w:p>
    <w:bookmarkEnd w:id="37"/>
    <w:bookmarkStart w:id="39" w:name="Xac7e4ead54b12ccf6544491699a177b7d16fa22"/>
    <w:p>
      <w:pPr>
        <w:pStyle w:val="Heading1"/>
      </w:pPr>
      <w:r>
        <w:t xml:space="preserve">8. Lead with the simplest correct form of a definition</w:t>
      </w:r>
    </w:p>
    <w:p>
      <w:pPr>
        <w:pStyle w:val="FirstParagraph"/>
      </w:pPr>
      <w:r>
        <w:t xml:space="preserve">Define a quantity in the form that needs the fewest symbols,</w:t>
      </w:r>
      <w:r>
        <w:t xml:space="preserve"> </w:t>
      </w:r>
      <w:r>
        <w:t xml:space="preserve">and state the textbook form as a theorem that follows.</w:t>
      </w:r>
      <w:r>
        <w:t xml:space="preserve"> </w:t>
      </w:r>
      <w:r>
        <w:t xml:space="preserve">For example, define</w:t>
      </w:r>
      <w:r>
        <w:t xml:space="preserve"> </w:t>
      </w:r>
      <w:hyperlink r:id="rId38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as the mean squared deviation</w:t>
      </w:r>
      <w:r>
        <w:t xml:space="preserve"> </w:t>
      </w:r>
      <m:oMath>
        <m:r>
          <m:rPr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devn</m:t>
            </m:r>
            <m:r>
              <m:rPr>
                <m:sty m:val="p"/>
              </m:rPr>
              <m:t>(</m:t>
            </m:r>
            <m:r>
              <m:t>X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p"/>
          </m:rPr>
          <m:t>devn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rPr>
            <m:sty m:val="p"/>
          </m:rPr>
          <m:t>[</m:t>
        </m:r>
        <m:r>
          <m:t>X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 then prove that it equals</w:t>
      </w:r>
      <w:r>
        <w:t xml:space="preserve"> </w:t>
      </w:r>
      <m:oMath>
        <m:r>
          <m:rPr>
            <m:sty m:val="p"/>
          </m:rPr>
          <m:t>E</m:t>
        </m:r>
        <m:r>
          <m:rPr>
            <m:sty m:val="p"/>
          </m:rPr>
          <m:t>[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rPr>
            <m:sty m:val="p"/>
          </m:rPr>
          <m:t>E</m:t>
        </m:r>
        <m:r>
          <m:rPr>
            <m:sty m:val="p"/>
          </m:rPr>
          <m:t>[</m:t>
        </m:r>
        <m:r>
          <m:t>X</m:t>
        </m:r>
        <m:r>
          <m:rPr>
            <m:sty m:val="p"/>
          </m:rPr>
          <m:t>]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Parsimony outranks convention when choosing a primary definition.</w:t>
      </w:r>
      <w:r>
        <w:t xml:space="preserve"> </w:t>
      </w:r>
      <w:r>
        <w:t xml:space="preserve">The conventional form still appears in the notes, as a named result.</w:t>
      </w:r>
    </w:p>
    <w:bookmarkEnd w:id="39"/>
    <w:bookmarkStart w:id="40" w:name="reuse-one-written-version-of-each-result"/>
    <w:p>
      <w:pPr>
        <w:pStyle w:val="Heading1"/>
      </w:pPr>
      <w:r>
        <w:t xml:space="preserve">9. Reuse one written version of each result</w:t>
      </w:r>
    </w:p>
    <w:p>
      <w:pPr>
        <w:pStyle w:val="FirstParagraph"/>
      </w:pPr>
      <w:r>
        <w:t xml:space="preserve">When several courses or repositories have already written the same definition, theorem, or exercise,</w:t>
      </w:r>
      <w:r>
        <w:t xml:space="preserve"> </w:t>
      </w:r>
      <w:r>
        <w:t xml:space="preserve">compare the versions on notation, decomposition, parsimony, and clarity.</w:t>
      </w:r>
      <w:r>
        <w:t xml:space="preserve"> </w:t>
      </w:r>
      <w:r>
        <w:t xml:space="preserve">Use the best one, or merge them, and make it the single copy.</w:t>
      </w:r>
      <w:r>
        <w:t xml:space="preserve"> </w:t>
      </w:r>
      <w:r>
        <w:t xml:space="preserve">Other places include or link to that copy</w:t>
      </w:r>
      <w:r>
        <w:t xml:space="preserve"> </w:t>
      </w:r>
      <w:r>
        <w:t xml:space="preserve">instead of keeping a second wording that can drift.</w:t>
      </w:r>
    </w:p>
    <w:bookmarkEnd w:id="40"/>
    <w:bookmarkStart w:id="41" w:name="X11836f24e721af110ba0cd46d0bc8205a0c562c"/>
    <w:p>
      <w:pPr>
        <w:pStyle w:val="Heading1"/>
      </w:pPr>
      <w:r>
        <w:t xml:space="preserve">10. Match datasets and assignments to the reference texts</w:t>
      </w:r>
    </w:p>
    <w:p>
      <w:pPr>
        <w:pStyle w:val="FirstParagraph"/>
      </w:pPr>
      <w:r>
        <w:t xml:space="preserve">Students can ask an AI assistant for a complete solution to any homework problem,</w:t>
      </w:r>
      <w:r>
        <w:t xml:space="preserve"> </w:t>
      </w:r>
      <w:r>
        <w:t xml:space="preserve">so a problem is no more secure for never having been published (Ezra, 2026-11-04).</w:t>
      </w:r>
      <w:r>
        <w:t xml:space="preserve"> </w:t>
      </w:r>
      <w:r>
        <w:t xml:space="preserve">Choose assignments for their fit with the course, not for novelty.</w:t>
      </w:r>
    </w:p>
    <w:p>
      <w:pPr>
        <w:pStyle w:val="Compact"/>
        <w:numPr>
          <w:ilvl w:val="0"/>
          <w:numId w:val="1006"/>
        </w:numPr>
      </w:pPr>
      <w:r>
        <w:t xml:space="preserve">Use as an in-class example the dataset that the reference texts and the other instructors of the course use for that topic.</w:t>
      </w:r>
      <w:r>
        <w:t xml:space="preserve"> </w:t>
      </w:r>
      <w:r>
        <w:t xml:space="preserve">Depart from it only for a stated reason.</w:t>
      </w:r>
    </w:p>
    <w:p>
      <w:pPr>
        <w:pStyle w:val="Compact"/>
        <w:numPr>
          <w:ilvl w:val="0"/>
          <w:numId w:val="1006"/>
        </w:numPr>
      </w:pPr>
      <w:r>
        <w:t xml:space="preserve">Assign as homework the kinds of exercise that the reference texts and the other instructors generally assign for that topic,</w:t>
      </w:r>
      <w:r>
        <w:t xml:space="preserve"> </w:t>
      </w:r>
      <w:r>
        <w:t xml:space="preserve">and use the same datasets they do.</w:t>
      </w:r>
    </w:p>
    <w:p>
      <w:pPr>
        <w:pStyle w:val="Compact"/>
        <w:numPr>
          <w:ilvl w:val="0"/>
          <w:numId w:val="1006"/>
        </w:numPr>
      </w:pPr>
      <w:r>
        <w:t xml:space="preserve">Keep assessment that must be secure, such as an exam, in a setting the instructor controls,</w:t>
      </w:r>
      <w:r>
        <w:t xml:space="preserve"> </w:t>
      </w:r>
      <w:r>
        <w:t xml:space="preserve">because a take-home problem cannot be.</w:t>
      </w:r>
    </w:p>
    <w:p>
      <w:pPr>
        <w:pStyle w:val="FirstParagraph"/>
      </w:pPr>
      <w:r>
        <w:t xml:space="preserve">Check the reference text itself before naming its datasets.</w:t>
      </w:r>
      <w:r>
        <w:t xml:space="preserve"> </w:t>
      </w:r>
      <w:r>
        <w:t xml:space="preserve">Open the chapter and list the dataset each section uses, rather than recalling them.</w:t>
      </w:r>
    </w:p>
    <w:bookmarkEnd w:id="41"/>
    <w:bookmarkStart w:id="43" w:name="use-real-data-and-compute-every-number"/>
    <w:p>
      <w:pPr>
        <w:pStyle w:val="Heading1"/>
      </w:pPr>
      <w:r>
        <w:t xml:space="preserve">11. Use real data and compute every number</w:t>
      </w:r>
    </w:p>
    <w:p>
      <w:pPr>
        <w:pStyle w:val="Compact"/>
        <w:numPr>
          <w:ilvl w:val="0"/>
          <w:numId w:val="1007"/>
        </w:numPr>
      </w:pPr>
      <w:r>
        <w:t xml:space="preserve">Where an example needs data, use a real dataset</w:t>
      </w:r>
      <w:r>
        <w:t xml:space="preserve"> </w:t>
      </w:r>
      <w:r>
        <w:t xml:space="preserve">instead of invented round numbers.</w:t>
      </w:r>
      <w:r>
        <w:t xml:space="preserve"> </w:t>
      </w:r>
      <w:r>
        <w:t xml:space="preserve">Name its original source, link to where it is published, and cite it.</w:t>
      </w:r>
    </w:p>
    <w:p>
      <w:pPr>
        <w:pStyle w:val="Compact"/>
        <w:numPr>
          <w:ilvl w:val="0"/>
          <w:numId w:val="1007"/>
        </w:numPr>
      </w:pPr>
      <w:r>
        <w:t xml:space="preserve">Show a dataset before analyzing it,</w:t>
      </w:r>
      <w:r>
        <w:t xml:space="preserve"> </w:t>
      </w:r>
      <w:r>
        <w:t xml:space="preserve">with a printed look at its first rows and its structure.</w:t>
      </w:r>
    </w:p>
    <w:p>
      <w:pPr>
        <w:pStyle w:val="Compact"/>
        <w:numPr>
          <w:ilvl w:val="0"/>
          <w:numId w:val="1007"/>
        </w:numPr>
      </w:pPr>
      <w:r>
        <w:t xml:space="preserve">Show the data where it is first mentioned.</w:t>
      </w:r>
      <w:r>
        <w:t xml:space="preserve"> </w:t>
      </w:r>
      <w:r>
        <w:t xml:space="preserve">Put a table of a few rows, or a plot of the variables, directly after the sentence that names the dataset,</w:t>
      </w:r>
      <w:r>
        <w:t xml:space="preserve"> </w:t>
      </w:r>
      <w:r>
        <w:t xml:space="preserve">before any discussion of its features, the methods to apply to it, or the questions it raises.</w:t>
      </w:r>
      <w:r>
        <w:t xml:space="preserve"> </w:t>
      </w:r>
      <w:r>
        <w:t xml:space="preserve">A reader who has seen the data can picture what the next slides describe,</w:t>
      </w:r>
      <w:r>
        <w:t xml:space="preserve"> </w:t>
      </w:r>
      <w:r>
        <w:t xml:space="preserve">while a reader who has not must hold an abstract description in mind until the data appears.</w:t>
      </w:r>
      <w:r>
        <w:t xml:space="preserve"> </w:t>
      </w:r>
      <w:r>
        <w:t xml:space="preserve">If the data are too large to show, show a sample or a summary figure.</w:t>
      </w:r>
      <w:r>
        <w:t xml:space="preserve"> </w:t>
      </w:r>
      <w:r>
        <w:t xml:space="preserve">Link later mentions of the dataset back to this first display.</w:t>
      </w:r>
    </w:p>
    <w:p>
      <w:pPr>
        <w:pStyle w:val="Compact"/>
        <w:numPr>
          <w:ilvl w:val="0"/>
          <w:numId w:val="1007"/>
        </w:numPr>
      </w:pPr>
      <w:r>
        <w:t xml:space="preserve">Never type or paste output.</w:t>
      </w:r>
      <w:r>
        <w:t xml:space="preserve"> </w:t>
      </w:r>
      <w:r>
        <w:t xml:space="preserve">The page shows what the code printed when the page was rendered,</w:t>
      </w:r>
      <w:r>
        <w:t xml:space="preserve"> </w:t>
      </w:r>
      <w:r>
        <w:t xml:space="preserve">and each number in the prose comes from inline code.</w:t>
      </w:r>
      <w:r>
        <w:t xml:space="preserve"> </w:t>
      </w:r>
      <w:r>
        <w:t xml:space="preserve">A number typed into prose goes stale when the data or the code changes.</w:t>
      </w:r>
    </w:p>
    <w:bookmarkStart w:id="42" w:name="exm-show-data-first"/>
    <w:p>
      <w:pPr>
        <w:pStyle w:val="FirstParagraph"/>
      </w:pPr>
      <w:r>
        <w:rPr>
          <w:b/>
          <w:bCs/>
        </w:rPr>
        <w:t xml:space="preserve">Example 4 (Showing the data at first mention)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Slides 3 to 9 discuss the spam data’s 57 predictors, its class imbalance</w:t>
      </w:r>
      <w:r>
        <w:t xml:space="preserve"> </w:t>
      </w:r>
      <w:r>
        <w:t xml:space="preserve">and the loss we will minimize.</w:t>
      </w:r>
      <w:r>
        <w:t xml:space="preserve"> </w:t>
      </w:r>
      <w:r>
        <w:t xml:space="preserve">Slide 10 shows a table of the first rows.</w:t>
      </w:r>
    </w:p>
    <w:p>
      <w:pPr>
        <w:pStyle w:val="BlockText"/>
      </w:pPr>
      <w:r>
        <w:t xml:space="preserve">✅ Slide 3 introduces the spam data and shows a table of its first rows</w:t>
      </w:r>
      <w:r>
        <w:t xml:space="preserve"> </w:t>
      </w:r>
      <w:r>
        <w:t xml:space="preserve">and a plot of one predictor by class.</w:t>
      </w:r>
      <w:r>
        <w:t xml:space="preserve"> </w:t>
      </w:r>
      <w:r>
        <w:t xml:space="preserve">Slides 4 to 10 discuss the predictors, the class imbalance and the loss,</w:t>
      </w:r>
      <w:r>
        <w:t xml:space="preserve"> </w:t>
      </w:r>
      <w:r>
        <w:t xml:space="preserve">and refer back to that table and plot.</w:t>
      </w:r>
    </w:p>
    <w:p>
      <w:pPr>
        <w:pStyle w:val="FirstParagraph"/>
      </w:pPr>
      <w:r>
        <w:t xml:space="preserve">The ✅ version lets every later slide refer to something the reader has already seen.</w:t>
      </w:r>
    </w:p>
    <w:bookmarkEnd w:id="42"/>
    <w:bookmarkEnd w:id="43"/>
    <w:bookmarkStart w:id="44" w:name="Xa214254a94aa6db868b5b9577007bf4e27699b1"/>
    <w:p>
      <w:pPr>
        <w:pStyle w:val="Heading1"/>
      </w:pPr>
      <w:r>
        <w:t xml:space="preserve">12. Store structured data in structured formats</w:t>
      </w:r>
    </w:p>
    <w:p>
      <w:pPr>
        <w:pStyle w:val="FirstParagraph"/>
      </w:pPr>
      <w:r>
        <w:t xml:space="preserve">This rule applies to all teaching materials, in every course and every teaching repository.</w:t>
      </w:r>
    </w:p>
    <w:p>
      <w:pPr>
        <w:pStyle w:val="Compact"/>
        <w:numPr>
          <w:ilvl w:val="0"/>
          <w:numId w:val="1008"/>
        </w:numPr>
      </w:pPr>
      <w:r>
        <w:t xml:space="preserve">Keep a list or table of like items, such as courses, readings, channels or glossary</w:t>
      </w:r>
      <w:r>
        <w:t xml:space="preserve"> </w:t>
      </w:r>
      <w:hyperlink r:id="rId12">
        <w:r>
          <w:rPr>
            <w:rStyle w:val="Hyperlink"/>
          </w:rPr>
          <w:t xml:space="preserve">term</w:t>
        </w:r>
      </w:hyperlink>
      <w:r>
        <w:t xml:space="preserve">s,</w:t>
      </w:r>
      <w:r>
        <w:t xml:space="preserve"> </w:t>
      </w:r>
      <w:r>
        <w:t xml:space="preserve">in a CSV, YAML or JSON file with one record per item.</w:t>
      </w:r>
      <w:r>
        <w:t xml:space="preserve"> </w:t>
      </w:r>
      <w:r>
        <w:t xml:space="preserve">The page reads the file and builds the table or list with a short function,</w:t>
      </w:r>
      <w:r>
        <w:t xml:space="preserve"> </w:t>
      </w:r>
      <w:r>
        <w:t xml:space="preserve"> </w:t>
      </w:r>
      <w:r>
        <w:t xml:space="preserve">instead of holding a hand-written Markdown table.</w:t>
      </w:r>
    </w:p>
    <w:p>
      <w:pPr>
        <w:pStyle w:val="Compact"/>
        <w:numPr>
          <w:ilvl w:val="0"/>
          <w:numId w:val="1008"/>
        </w:numPr>
      </w:pPr>
      <w:r>
        <w:t xml:space="preserve">A data file can be counted, filtered, sorted and reused by another page,</w:t>
      </w:r>
      <w:r>
        <w:t xml:space="preserve"> </w:t>
      </w:r>
      <w:r>
        <w:t xml:space="preserve">and a new row is a one-line change that a reviewer recognizes as a data change.</w:t>
      </w:r>
    </w:p>
    <w:p>
      <w:pPr>
        <w:pStyle w:val="Compact"/>
        <w:numPr>
          <w:ilvl w:val="0"/>
          <w:numId w:val="1008"/>
        </w:numPr>
      </w:pPr>
      <w:r>
        <w:t xml:space="preserve">List the file under the page’s</w:t>
      </w:r>
      <w:r>
        <w:t xml:space="preserve"> </w:t>
      </w:r>
      <w:r>
        <w:rPr>
          <w:rStyle w:val="VerbatimChar"/>
        </w:rPr>
        <w:t xml:space="preserve">resources:</w:t>
      </w:r>
      <w:r>
        <w:t xml:space="preserve"> </w:t>
      </w:r>
      <w:r>
        <w:t xml:space="preserve">when the site publishes it.</w:t>
      </w:r>
    </w:p>
    <w:p>
      <w:pPr>
        <w:pStyle w:val="Compact"/>
        <w:numPr>
          <w:ilvl w:val="0"/>
          <w:numId w:val="1008"/>
        </w:numPr>
      </w:pPr>
      <w:r>
        <w:t xml:space="preserve">Convert an existing hand-written table in its own pull request,</w:t>
      </w:r>
      <w:r>
        <w:t xml:space="preserve"> </w:t>
      </w:r>
      <w:r>
        <w:t xml:space="preserve">and render the page before and after to confirm that the output text is identical.</w:t>
      </w:r>
    </w:p>
    <w:p>
      <w:pPr>
        <w:pStyle w:val="Compact"/>
        <w:numPr>
          <w:ilvl w:val="0"/>
          <w:numId w:val="1008"/>
        </w:numPr>
      </w:pPr>
      <w:r>
        <w:t xml:space="preserve">A short list that no other page reads can stay as prose.</w:t>
      </w:r>
    </w:p>
    <w:bookmarkEnd w:id="44"/>
    <w:bookmarkStart w:id="45" w:name="Xf9972fb2ef0477b16eb2efc9f2e08c17d62e3ff"/>
    <w:p>
      <w:pPr>
        <w:pStyle w:val="Heading1"/>
      </w:pPr>
      <w:r>
        <w:t xml:space="preserve">13. Pair exploratory data analysis with plots</w:t>
      </w:r>
    </w:p>
    <w:p>
      <w:pPr>
        <w:pStyle w:val="Compact"/>
        <w:numPr>
          <w:ilvl w:val="0"/>
          <w:numId w:val="1009"/>
        </w:numPr>
      </w:pPr>
      <w:r>
        <w:t xml:space="preserve">Make each exploratory data analysis exercise or lab include graphical methods,</w:t>
      </w:r>
      <w:r>
        <w:t xml:space="preserve"> </w:t>
      </w:r>
      <w:r>
        <w:t xml:space="preserve">not only numerical summaries (Ezra, 2026-11-04).</w:t>
      </w:r>
      <w:r>
        <w:t xml:space="preserve"> </w:t>
      </w:r>
      <w:r>
        <w:t xml:space="preserve">Pair the summary with a plot of the same quantity:</w:t>
      </w:r>
    </w:p>
    <w:p>
      <w:pPr>
        <w:pStyle w:val="Compact"/>
        <w:numPr>
          <w:ilvl w:val="1"/>
          <w:numId w:val="1010"/>
        </w:numPr>
      </w:pPr>
      <w:r>
        <w:rPr>
          <w:b/>
          <w:bCs/>
        </w:rPr>
        <w:t xml:space="preserve">A distribution:</w:t>
      </w:r>
      <w:r>
        <w:t xml:space="preserve"> </w:t>
      </w:r>
      <w:r>
        <w:t xml:space="preserve">a histogram or boxplot.</w:t>
      </w:r>
    </w:p>
    <w:p>
      <w:pPr>
        <w:pStyle w:val="Compact"/>
        <w:numPr>
          <w:ilvl w:val="1"/>
          <w:numId w:val="1010"/>
        </w:numPr>
      </w:pPr>
      <w:r>
        <w:rPr>
          <w:b/>
          <w:bCs/>
        </w:rPr>
        <w:t xml:space="preserve">A trend or a relationship:</w:t>
      </w:r>
      <w:r>
        <w:t xml:space="preserve"> </w:t>
      </w:r>
      <w:r>
        <w:t xml:space="preserve">a scatterplot or time plot.</w:t>
      </w:r>
    </w:p>
    <w:p>
      <w:pPr>
        <w:pStyle w:val="Compact"/>
        <w:numPr>
          <w:ilvl w:val="0"/>
          <w:numId w:val="1009"/>
        </w:numPr>
      </w:pPr>
      <w:r>
        <w:t xml:space="preserve">Do not limit an exploratory analysis to counts and correlations.</w:t>
      </w:r>
      <w:r>
        <w:t xml:space="preserve"> </w:t>
      </w:r>
      <w:r>
        <w:t xml:space="preserve">A plot shows the shape, the outliers, and the trend that one number hides.</w:t>
      </w:r>
    </w:p>
    <w:p>
      <w:pPr>
        <w:pStyle w:val="Compact"/>
        <w:numPr>
          <w:ilvl w:val="0"/>
          <w:numId w:val="1009"/>
        </w:numPr>
      </w:pPr>
      <w:r>
        <w:t xml:space="preserve">Give each plot the figure treatment in</w:t>
      </w:r>
      <w:r>
        <w:t xml:space="preserve"> </w:t>
      </w:r>
      <w:hyperlink w:anchor="make-figures-accessible">
        <w:r>
          <w:rPr>
            <w:rStyle w:val="Hyperlink"/>
          </w:rPr>
          <w:t xml:space="preserve">Make figures accessible</w:t>
        </w:r>
      </w:hyperlink>
      <w:r>
        <w:t xml:space="preserve">.</w:t>
      </w:r>
    </w:p>
    <w:bookmarkEnd w:id="45"/>
    <w:bookmarkStart w:id="51" w:name="show-each-idea-applied-and-in-a-figure"/>
    <w:p>
      <w:pPr>
        <w:pStyle w:val="Heading1"/>
      </w:pPr>
      <w:r>
        <w:t xml:space="preserve">14. Show each idea applied and in a figure</w:t>
      </w:r>
    </w:p>
    <w:p>
      <w:pPr>
        <w:pStyle w:val="Compact"/>
        <w:numPr>
          <w:ilvl w:val="0"/>
          <w:numId w:val="1011"/>
        </w:numPr>
      </w:pPr>
      <w:r>
        <w:t xml:space="preserve">Give every definition, method and result at least one applied example</w:t>
      </w:r>
      <w:r>
        <w:t xml:space="preserve"> </w:t>
      </w:r>
      <w:r>
        <w:t xml:space="preserve">that computes it on real data,</w:t>
      </w:r>
      <w:r>
        <w:t xml:space="preserve"> </w:t>
      </w:r>
      <w:r>
        <w:t xml:space="preserve">so the reader sees what the idea does before or beside the algebra.</w:t>
      </w:r>
    </w:p>
    <w:p>
      <w:pPr>
        <w:pStyle w:val="Compact"/>
        <w:numPr>
          <w:ilvl w:val="0"/>
          <w:numId w:val="1011"/>
        </w:numPr>
      </w:pPr>
      <w:r>
        <w:t xml:space="preserve">Follow every abstract div directly with a concrete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 </w:t>
      </w:r>
      <w:r>
        <w:t xml:space="preserve">div.</w:t>
      </w:r>
      <w:r>
        <w:t xml:space="preserve"> </w:t>
      </w:r>
      <w:r>
        <w:t xml:space="preserve">The rule covers each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,</w:t>
      </w:r>
      <w:r>
        <w:t xml:space="preserve"> </w:t>
      </w:r>
      <w:r>
        <w:rPr>
          <w:rStyle w:val="VerbatimChar"/>
        </w:rPr>
        <w:t xml:space="preserve">#thm-</w:t>
      </w:r>
      <w:r>
        <w:t xml:space="preserve">,</w:t>
      </w:r>
      <w:r>
        <w:t xml:space="preserve"> </w:t>
      </w:r>
      <w:r>
        <w:rPr>
          <w:rStyle w:val="VerbatimChar"/>
        </w:rPr>
        <w:t xml:space="preserve">#lem-</w:t>
      </w:r>
      <w:r>
        <w:t xml:space="preserve">,</w:t>
      </w:r>
      <w:r>
        <w:t xml:space="preserve"> </w:t>
      </w:r>
      <w:r>
        <w:rPr>
          <w:rStyle w:val="VerbatimChar"/>
        </w:rPr>
        <w:t xml:space="preserve">#cor-</w:t>
      </w:r>
      <w:r>
        <w:t xml:space="preserve"> </w:t>
      </w:r>
      <w:r>
        <w:t xml:space="preserve">and similar div.</w:t>
      </w:r>
      <w:r>
        <w:t xml:space="preserve"> </w:t>
      </w:r>
      <w:r>
        <w:t xml:space="preserve">The example of a related result does not exempt a definition:</w:t>
      </w:r>
      <w:r>
        <w:t xml:space="preserve"> </w:t>
      </w:r>
      <w:r>
        <w:t xml:space="preserve">a theorem that uses a definition gets its own example,</w:t>
      </w:r>
      <w:r>
        <w:t xml:space="preserve"> </w:t>
      </w:r>
      <w:r>
        <w:t xml:space="preserve">and so does the definition.</w:t>
      </w:r>
      <w:r>
        <w:t xml:space="preserve"> </w:t>
      </w:r>
      <w:r>
        <w:t xml:space="preserve">The</w:t>
      </w:r>
      <w:r>
        <w:t xml:space="preserve"> </w:t>
      </w:r>
      <w:hyperlink r:id="rId46">
        <w:r>
          <w:rPr>
            <w:rStyle w:val="Hyperlink"/>
          </w:rPr>
          <w:t xml:space="preserve">ai-config rule</w:t>
        </w:r>
      </w:hyperlink>
      <w:r>
        <w:t xml:space="preserve"> </w:t>
      </w:r>
      <w:r>
        <w:t xml:space="preserve">links here.</w:t>
      </w:r>
    </w:p>
    <w:p>
      <w:pPr>
        <w:pStyle w:val="Compact"/>
        <w:numPr>
          <w:ilvl w:val="0"/>
          <w:numId w:val="1011"/>
        </w:numPr>
      </w:pPr>
      <w:r>
        <w:t xml:space="preserve">Give nearly every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 </w:t>
      </w:r>
      <w:r>
        <w:t xml:space="preserve">div a figure of its data, model or results (Ezra, 2026-10-23).</w:t>
      </w:r>
      <w:r>
        <w:t xml:space="preserve"> </w:t>
      </w:r>
      <w:r>
        <w:t xml:space="preserve">When an example has no figure, state the reason in that div.</w:t>
      </w:r>
      <w:r>
        <w:t xml:space="preserve"> </w:t>
      </w:r>
      <w:r>
        <w:t xml:space="preserve">Put the figure inside the div,</w:t>
      </w:r>
      <w:r>
        <w:t xml:space="preserve"> </w:t>
      </w:r>
      <w:r>
        <w:t xml:space="preserve">or include a subfile whose name ends in</w:t>
      </w:r>
      <w:r>
        <w:t xml:space="preserve"> </w:t>
      </w:r>
      <w:r>
        <w:rPr>
          <w:rStyle w:val="VerbatimChar"/>
        </w:rPr>
        <w:t xml:space="preserve">_fig</w:t>
      </w:r>
      <w:r>
        <w:t xml:space="preserve"> </w:t>
      </w:r>
      <w:r>
        <w:t xml:space="preserve">inside the div.</w:t>
      </w:r>
      <w:r>
        <w:t xml:space="preserve"> </w:t>
      </w:r>
      <w:r>
        <w:t xml:space="preserve">When an example has nothing to plot, such as a single number,</w:t>
      </w:r>
      <w:r>
        <w:t xml:space="preserve"> </w:t>
      </w:r>
      <w:r>
        <w:t xml:space="preserve">add</w:t>
      </w:r>
      <w:r>
        <w:t xml:space="preserve"> </w:t>
      </w:r>
      <w:r>
        <w:rPr>
          <w:rStyle w:val="VerbatimChar"/>
        </w:rPr>
        <w:t xml:space="preserve">&lt;!-- no-figure: reason --&gt;</w:t>
      </w:r>
      <w:r>
        <w:t xml:space="preserve"> </w:t>
      </w:r>
      <w:r>
        <w:t xml:space="preserve">inside the div,</w:t>
      </w:r>
      <w:r>
        <w:t xml:space="preserve"> </w:t>
      </w:r>
      <w:r>
        <w:t xml:space="preserve">replacing</w:t>
      </w:r>
      <w:r>
        <w:t xml:space="preserve"> </w:t>
      </w:r>
      <w:r>
        <w:rPr>
          <w:rStyle w:val="VerbatimChar"/>
        </w:rPr>
        <w:t xml:space="preserve">reason</w:t>
      </w:r>
      <w:r>
        <w:t xml:space="preserve"> </w:t>
      </w:r>
      <w:r>
        <w:t xml:space="preserve">with why there is nothing to plot.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check-exm-figures</w:t>
      </w:r>
      <w:r>
        <w:t xml:space="preserve"> </w:t>
      </w:r>
      <w:r>
        <w:t xml:space="preserve">workflow in</w:t>
      </w:r>
      <w:r>
        <w:t xml:space="preserve"> </w:t>
      </w:r>
      <w:hyperlink r:id="rId17">
        <w:r>
          <w:rPr>
            <w:rStyle w:val="VerbatimChar"/>
          </w:rPr>
          <w:t xml:space="preserve">gha</w:t>
        </w:r>
      </w:hyperlink>
      <w:r>
        <w:t xml:space="preserve"> </w:t>
      </w:r>
      <w:r>
        <w:t xml:space="preserve">reports, in a pull request, each example that has no figure and no</w:t>
      </w:r>
      <w:r>
        <w:t xml:space="preserve"> </w:t>
      </w:r>
      <w:r>
        <w:rPr>
          <w:rStyle w:val="VerbatimChar"/>
        </w:rPr>
        <w:t xml:space="preserve">no-figure</w:t>
      </w:r>
      <w:r>
        <w:t xml:space="preserve"> </w:t>
      </w:r>
      <w:r>
        <w:t xml:space="preserve">comment</w:t>
      </w:r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gha#1193</w:t>
        </w:r>
      </w:hyperlink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Give every div whose title mentions visualization</w:t>
      </w:r>
      <w:r>
        <w:t xml:space="preserve"> </w:t>
      </w:r>
      <w:r>
        <w:t xml:space="preserve">(</w:t>
      </w:r>
      <w:r>
        <w:rPr>
          <w:i/>
          <w:iCs/>
        </w:rPr>
        <w:t xml:space="preserve">visualize</w:t>
      </w:r>
      <w:r>
        <w:t xml:space="preserve">,</w:t>
      </w:r>
      <w:r>
        <w:t xml:space="preserve"> </w:t>
      </w:r>
      <w:r>
        <w:rPr>
          <w:i/>
          <w:iCs/>
        </w:rPr>
        <w:t xml:space="preserve">visualizing</w:t>
      </w:r>
      <w:r>
        <w:t xml:space="preserve">,</w:t>
      </w:r>
      <w:r>
        <w:t xml:space="preserve"> </w:t>
      </w:r>
      <w:r>
        <w:rPr>
          <w:i/>
          <w:iCs/>
        </w:rPr>
        <w:t xml:space="preserve">visualization</w:t>
      </w:r>
      <w:r>
        <w:t xml:space="preserve">) a corresponding figure (Ezra, 2026-10-26).</w:t>
      </w:r>
      <w:r>
        <w:t xml:space="preserve"> </w:t>
      </w:r>
      <w:r>
        <w:t xml:space="preserve">For an exercise, the figure may sit in the exercise or in its solution.</w:t>
      </w:r>
      <w:r>
        <w:t xml:space="preserve"> </w:t>
      </w:r>
      <w:r>
        <w:t xml:space="preserve">The rule also covers any div that asks for a picture:</w:t>
      </w:r>
      <w:r>
        <w:t xml:space="preserve"> </w:t>
      </w:r>
      <w:r>
        <w:t xml:space="preserve">a title or an exercise prompt that says</w:t>
      </w:r>
      <w:r>
        <w:t xml:space="preserve"> </w:t>
      </w:r>
      <w:r>
        <w:rPr>
          <w:i/>
          <w:iCs/>
        </w:rPr>
        <w:t xml:space="preserve">plot</w:t>
      </w:r>
      <w:r>
        <w:t xml:space="preserve">,</w:t>
      </w:r>
      <w:r>
        <w:t xml:space="preserve"> </w:t>
      </w:r>
      <w:r>
        <w:rPr>
          <w:i/>
          <w:iCs/>
        </w:rPr>
        <w:t xml:space="preserve">sketch</w:t>
      </w:r>
      <w:r>
        <w:t xml:space="preserve">,</w:t>
      </w:r>
      <w:r>
        <w:t xml:space="preserve"> </w:t>
      </w:r>
      <w:r>
        <w:rPr>
          <w:i/>
          <w:iCs/>
        </w:rPr>
        <w:t xml:space="preserve">draw</w:t>
      </w:r>
      <w:r>
        <w:t xml:space="preserve">,</w:t>
      </w:r>
      <w:r>
        <w:t xml:space="preserve"> </w:t>
      </w:r>
      <w:r>
        <w:rPr>
          <w:i/>
          <w:iCs/>
        </w:rPr>
        <w:t xml:space="preserve">diagram</w:t>
      </w:r>
      <w:r>
        <w:t xml:space="preserve">, or</w:t>
      </w:r>
      <w:r>
        <w:t xml:space="preserve"> </w:t>
      </w:r>
      <w:r>
        <w:rPr>
          <w:i/>
          <w:iCs/>
        </w:rPr>
        <w:t xml:space="preserve">contour</w:t>
      </w:r>
      <w:r>
        <w:t xml:space="preserve"> </w:t>
      </w:r>
      <w:r>
        <w:t xml:space="preserve">(in any inflection, such as</w:t>
      </w:r>
      <w:r>
        <w:t xml:space="preserve"> </w:t>
      </w:r>
      <w:r>
        <w:rPr>
          <w:i/>
          <w:iCs/>
        </w:rPr>
        <w:t xml:space="preserve">plotting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sketching</w:t>
      </w:r>
      <w:r>
        <w:t xml:space="preserve">),</w:t>
      </w:r>
      <w:r>
        <w:t xml:space="preserve"> </w:t>
      </w:r>
      <w:r>
        <w:t xml:space="preserve">or that asks the reader to mark points on a surface.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check-visualization-figures</w:t>
      </w:r>
      <w:r>
        <w:t xml:space="preserve"> </w:t>
      </w:r>
      <w:r>
        <w:t xml:space="preserve">workflow in</w:t>
      </w:r>
      <w:r>
        <w:t xml:space="preserve"> </w:t>
      </w:r>
      <w:hyperlink r:id="rId17">
        <w:r>
          <w:rPr>
            <w:rStyle w:val="VerbatimChar"/>
          </w:rPr>
          <w:t xml:space="preserve">gha</w:t>
        </w:r>
      </w:hyperlink>
      <w:r>
        <w:t xml:space="preserve"> </w:t>
      </w:r>
      <w:r>
        <w:t xml:space="preserve">reports, in a pull request, each such div that has no figure in it or in its solution,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&lt;!-- no-figure: reason --&gt;</w:t>
      </w:r>
      <w:r>
        <w:t xml:space="preserve"> </w:t>
      </w:r>
      <w:r>
        <w:t xml:space="preserve">comment inside the div suppresses that report,</w:t>
      </w:r>
      <w:r>
        <w:t xml:space="preserve"> </w:t>
      </w:r>
      <w:r>
        <w:t xml:space="preserve">as it does for an example</w:t>
      </w:r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gha#1262</w:t>
        </w:r>
      </w:hyperlink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Give every topic at least one figure that shows the idea,</w:t>
      </w:r>
      <w:r>
        <w:t xml:space="preserve"> </w:t>
      </w:r>
      <w:r>
        <w:t xml:space="preserve">such as the data with a fitted curve, a distribution, or a diagram of the procedure.</w:t>
      </w:r>
      <w:r>
        <w:t xml:space="preserve"> </w:t>
      </w:r>
      <w:r>
        <w:t xml:space="preserve">A page of definitions with no figure and no data is incomplete.</w:t>
      </w:r>
    </w:p>
    <w:p>
      <w:pPr>
        <w:pStyle w:val="Compact"/>
        <w:numPr>
          <w:ilvl w:val="0"/>
          <w:numId w:val="1011"/>
        </w:numPr>
      </w:pPr>
      <w:r>
        <w:t xml:space="preserve">Prerequisite notes follow the same rule as course lectures.</w:t>
      </w:r>
      <w:r>
        <w:t xml:space="preserve"> </w:t>
      </w:r>
      <w:r>
        <w:t xml:space="preserve">A prerequisite page that is only definitions and algebra needs an applied example and a figure.</w:t>
      </w:r>
    </w:p>
    <w:p>
      <w:pPr>
        <w:pStyle w:val="Compact"/>
        <w:numPr>
          <w:ilvl w:val="0"/>
          <w:numId w:val="1011"/>
        </w:numPr>
      </w:pPr>
      <w:r>
        <w:t xml:space="preserve">Place each figure directly after the sentence that first refers to it.</w:t>
      </w:r>
      <w:r>
        <w:t xml:space="preserve"> </w:t>
      </w:r>
      <w:r>
        <w:t xml:space="preserve">Do not refer to a figure, table, or result that appears later in the document,</w:t>
      </w:r>
      <w:r>
        <w:t xml:space="preserve"> </w:t>
      </w:r>
      <w:r>
        <w:t xml:space="preserve">because the reader encounters the reference before the thing it points to.</w:t>
      </w:r>
      <w:r>
        <w:t xml:space="preserve"> </w:t>
      </w:r>
      <w:r>
        <w:t xml:space="preserve">This rule is for teaching materials, which are reading copies.</w:t>
      </w:r>
      <w:r>
        <w:t xml:space="preserve"> </w:t>
      </w:r>
      <w:r>
        <w:t xml:space="preserve">A journal submission may collect its figures at the end,</w:t>
      </w:r>
      <w:r>
        <w:t xml:space="preserve"> </w:t>
      </w:r>
      <w:r>
        <w:t xml:space="preserve">as</w:t>
      </w:r>
      <w:r>
        <w:t xml:space="preserve"> </w:t>
      </w:r>
      <w:hyperlink r:id="rId49">
        <w:r>
          <w:rPr>
            <w:rStyle w:val="Hyperlink"/>
          </w:rPr>
          <w:t xml:space="preserve">Figures and tables</w:t>
        </w:r>
      </w:hyperlink>
      <w:r>
        <w:t xml:space="preserve"> </w:t>
      </w:r>
      <w:r>
        <w:t xml:space="preserve">describes.</w:t>
      </w:r>
    </w:p>
    <w:p>
      <w:pPr>
        <w:pStyle w:val="Compact"/>
        <w:numPr>
          <w:ilvl w:val="0"/>
          <w:numId w:val="1011"/>
        </w:numPr>
      </w:pPr>
      <w:r>
        <w:t xml:space="preserve">Make each figure follow the accessibility rules below.</w:t>
      </w:r>
    </w:p>
    <w:p>
      <w:pPr>
        <w:pStyle w:val="Compact"/>
        <w:numPr>
          <w:ilvl w:val="0"/>
          <w:numId w:val="1011"/>
        </w:numPr>
      </w:pPr>
      <w:r>
        <w:t xml:space="preserve">Discuss and cross-reference every figure in the prose (Ezra, 2026-11-02).</w:t>
      </w:r>
      <w:r>
        <w:t xml:space="preserve"> </w:t>
      </w:r>
      <w:r>
        <w:t xml:space="preserve">Cite it with</w:t>
      </w:r>
      <w:r>
        <w:t xml:space="preserve"> </w:t>
      </w:r>
      <w:r>
        <w:rPr>
          <w:rStyle w:val="VerbatimChar"/>
        </w:rPr>
        <w:t xml:space="preserve">@fig-id</w:t>
      </w:r>
      <w:r>
        <w:t xml:space="preserve">, and say what the reader should see in it.</w:t>
      </w:r>
      <w:r>
        <w:t xml:space="preserve"> </w:t>
      </w:r>
      <w:r>
        <w:t xml:space="preserve">A figure that no sentence cites or interprets is decoration.</w:t>
      </w:r>
    </w:p>
    <w:p>
      <w:pPr>
        <w:pStyle w:val="Compact"/>
        <w:numPr>
          <w:ilvl w:val="0"/>
          <w:numId w:val="1011"/>
        </w:numPr>
      </w:pPr>
      <w:r>
        <w:t xml:space="preserve">Nest a figure that belongs to one example or exercise inside that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,</w:t>
      </w:r>
      <w:r>
        <w:t xml:space="preserve"> </w:t>
      </w:r>
      <w:r>
        <w:rPr>
          <w:rStyle w:val="VerbatimChar"/>
        </w:rPr>
        <w:t xml:space="preserve">#exr-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#sol-</w:t>
      </w:r>
      <w:r>
        <w:t xml:space="preserve"> </w:t>
      </w:r>
      <w:r>
        <w:t xml:space="preserve">div (Ezra, 2026-11-02).</w:t>
      </w:r>
      <w:r>
        <w:t xml:space="preserve"> </w:t>
      </w:r>
      <w:r>
        <w:t xml:space="preserve">A figure outside the div leaves the example or exercise incomplete when the reader meets it alone,</w:t>
      </w:r>
      <w:r>
        <w:t xml:space="preserve"> </w:t>
      </w:r>
      <w:r>
        <w:t xml:space="preserve">and moves with the wrong text when the page is reorganized.</w:t>
      </w:r>
      <w:r>
        <w:t xml:space="preserve"> </w:t>
      </w:r>
      <w:r>
        <w:t xml:space="preserve">Leave a figure that several examples share outside every div, and cite it from each.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check-figure-placement</w:t>
      </w:r>
      <w:r>
        <w:t xml:space="preserve"> </w:t>
      </w:r>
      <w:r>
        <w:t xml:space="preserve">workflow in</w:t>
      </w:r>
      <w:r>
        <w:t xml:space="preserve"> </w:t>
      </w:r>
      <w:hyperlink r:id="rId17">
        <w:r>
          <w:rPr>
            <w:rStyle w:val="VerbatimChar"/>
          </w:rPr>
          <w:t xml:space="preserve">gha</w:t>
        </w:r>
      </w:hyperlink>
      <w:r>
        <w:t xml:space="preserve"> </w:t>
      </w:r>
      <w:r>
        <w:t xml:space="preserve">reports, in a pull request, each figure on a changed line that no prose cites</w:t>
      </w:r>
      <w:r>
        <w:t xml:space="preserve"> </w:t>
      </w:r>
      <w:r>
        <w:t xml:space="preserve">and each figure placed directly after an example, exercise or solution div without being inside it.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&lt;!-- figure-placement: allow --&gt;</w:t>
      </w:r>
      <w:r>
        <w:t xml:space="preserve"> </w:t>
      </w:r>
      <w:r>
        <w:t xml:space="preserve">comment on the figure or inside its div</w:t>
      </w:r>
      <w:r>
        <w:t xml:space="preserve"> </w:t>
      </w:r>
      <w:r>
        <w:t xml:space="preserve">suppresses the report for a shared figure</w:t>
      </w:r>
      <w:r>
        <w:t xml:space="preserve"> </w:t>
      </w:r>
      <w:r>
        <w:t xml:space="preserve">(</w:t>
      </w:r>
      <w:hyperlink r:id="rId50">
        <w:r>
          <w:rPr>
            <w:rStyle w:val="Hyperlink"/>
          </w:rPr>
          <w:t xml:space="preserve">gha#1378</w:t>
        </w:r>
      </w:hyperlink>
      <w:r>
        <w:t xml:space="preserve">).</w:t>
      </w:r>
    </w:p>
    <w:bookmarkEnd w:id="51"/>
    <w:bookmarkStart w:id="53" w:name="X7f95f8ec3b796fc99108c37bb45d62741b824c4"/>
    <w:p>
      <w:pPr>
        <w:pStyle w:val="Heading1"/>
      </w:pPr>
      <w:r>
        <w:t xml:space="preserve">15. Follow every example with an exercise and solution</w:t>
      </w:r>
    </w:p>
    <w:p>
      <w:pPr>
        <w:pStyle w:val="FirstParagraph"/>
      </w:pPr>
      <w:r>
        <w:t xml:space="preserve">Reading a worked example is passive.</w:t>
      </w:r>
      <w:r>
        <w:t xml:space="preserve"> </w:t>
      </w:r>
      <w:r>
        <w:t xml:space="preserve">A reader who has just seen one method applied</w:t>
      </w:r>
      <w:r>
        <w:t xml:space="preserve"> </w:t>
      </w:r>
      <w:r>
        <w:t xml:space="preserve">learns more by applying it to a new case than by reading a second example.</w:t>
      </w:r>
      <w:r>
        <w:t xml:space="preserve"> </w:t>
      </w:r>
      <w:r>
        <w:t xml:space="preserve">So each example gets a practice exercise, with its solution, right after it.</w:t>
      </w:r>
    </w:p>
    <w:p>
      <w:pPr>
        <w:pStyle w:val="Compact"/>
        <w:numPr>
          <w:ilvl w:val="0"/>
          <w:numId w:val="1012"/>
        </w:numPr>
      </w:pPr>
      <w:r>
        <w:t xml:space="preserve">After every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 </w:t>
      </w:r>
      <w:r>
        <w:t xml:space="preserve">div, add an</w:t>
      </w:r>
      <w:r>
        <w:t xml:space="preserve"> </w:t>
      </w:r>
      <w:r>
        <w:rPr>
          <w:rStyle w:val="VerbatimChar"/>
        </w:rPr>
        <w:t xml:space="preserve">#exr-</w:t>
      </w:r>
      <w:r>
        <w:t xml:space="preserve"> </w:t>
      </w:r>
      <w:r>
        <w:t xml:space="preserve">div that asks the reader</w:t>
      </w:r>
      <w:r>
        <w:t xml:space="preserve"> </w:t>
      </w:r>
      <w:r>
        <w:t xml:space="preserve">to do the same thing for a different case,</w:t>
      </w:r>
      <w:r>
        <w:t xml:space="preserve"> </w:t>
      </w:r>
      <w:r>
        <w:t xml:space="preserve">followed by its</w:t>
      </w:r>
      <w:r>
        <w:t xml:space="preserve"> </w:t>
      </w:r>
      <w:r>
        <w:rPr>
          <w:rStyle w:val="VerbatimChar"/>
        </w:rPr>
        <w:t xml:space="preserve">#sol-</w:t>
      </w:r>
      <w:r>
        <w:t xml:space="preserve"> </w:t>
      </w:r>
      <w:r>
        <w:t xml:space="preserve">div.</w:t>
      </w:r>
      <w:r>
        <w:t xml:space="preserve"> </w:t>
      </w:r>
      <w:r>
        <w:t xml:space="preserve">The exercise changes the data, the function or the question,</w:t>
      </w:r>
      <w:r>
        <w:t xml:space="preserve"> </w:t>
      </w:r>
      <w:r>
        <w:t xml:space="preserve"> </w:t>
      </w:r>
      <w:r>
        <w:t xml:space="preserve">so the solution is not a copy of the example.</w:t>
      </w:r>
    </w:p>
    <w:p>
      <w:pPr>
        <w:pStyle w:val="Compact"/>
        <w:numPr>
          <w:ilvl w:val="0"/>
          <w:numId w:val="1012"/>
        </w:numPr>
      </w:pPr>
      <w:r>
        <w:t xml:space="preserve">The full sequence for a new idea is therefore:</w:t>
      </w:r>
      <w:r>
        <w:t xml:space="preserve"> </w:t>
      </w:r>
      <w:r>
        <w:t xml:space="preserve">the exercise that poses the question and its solution,</w:t>
      </w:r>
      <w:r>
        <w:t xml:space="preserve"> </w:t>
      </w:r>
      <w:r>
        <w:t xml:space="preserve">the definition or theorem,</w:t>
      </w:r>
      <w:r>
        <w:t xml:space="preserve"> </w:t>
      </w:r>
      <w:r>
        <w:t xml:space="preserve">an example,</w:t>
      </w:r>
      <w:r>
        <w:t xml:space="preserve"> </w:t>
      </w:r>
      <w:r>
        <w:t xml:space="preserve">and a practice exercise with its solution.</w:t>
      </w:r>
    </w:p>
    <w:p>
      <w:pPr>
        <w:pStyle w:val="Compact"/>
        <w:numPr>
          <w:ilvl w:val="0"/>
          <w:numId w:val="1012"/>
        </w:numPr>
      </w:pPr>
      <w:r>
        <w:t xml:space="preserve">More generally, give readers an opportunity to think at every stage:</w:t>
      </w:r>
      <w:r>
        <w:t xml:space="preserve"> </w:t>
      </w:r>
      <w:r>
        <w:t xml:space="preserve">a question they can answer before the next paragraph, a calculation to try,</w:t>
      </w:r>
      <w:r>
        <w:t xml:space="preserve"> </w:t>
      </w:r>
      <w:r>
        <w:t xml:space="preserve">a prediction to make before the code runs.</w:t>
      </w:r>
    </w:p>
    <w:p>
      <w:pPr>
        <w:pStyle w:val="Compact"/>
        <w:numPr>
          <w:ilvl w:val="0"/>
          <w:numId w:val="1012"/>
        </w:numPr>
      </w:pPr>
      <w:r>
        <w:t xml:space="preserve">A counterexample (see</w:t>
      </w:r>
      <w:r>
        <w:t xml:space="preserve"> </w:t>
      </w:r>
      <w:hyperlink r:id="rId34">
        <w:r>
          <w:rPr>
            <w:rStyle w:val="Hyperlink"/>
          </w:rPr>
          <w:t xml:space="preserve">Defining terms clearly</w:t>
        </w:r>
      </w:hyperlink>
      <w:r>
        <w:t xml:space="preserve">)</w:t>
      </w:r>
      <w:r>
        <w:t xml:space="preserve"> </w:t>
      </w:r>
      <w:r>
        <w:t xml:space="preserve">can stand in for the practice exercise</w:t>
      </w:r>
      <w:r>
        <w:t xml:space="preserve"> </w:t>
      </w:r>
      <w:r>
        <w:t xml:space="preserve">when the exercise would be</w:t>
      </w:r>
      <w:r>
        <w:t xml:space="preserve"> </w:t>
      </w:r>
      <w:r>
        <w:t xml:space="preserve">“decide whether this case fits the definition”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Give the practice exercise its own slug and follow the numbering and slide-break rules above.</w:t>
      </w:r>
    </w:p>
    <w:bookmarkStart w:id="52" w:name="exm-practice-after-example"/>
    <w:p>
      <w:pPr>
        <w:pStyle w:val="FirstParagraph"/>
      </w:pPr>
      <w:r>
        <w:rPr>
          <w:b/>
          <w:bCs/>
        </w:rPr>
        <w:t xml:space="preserve">Example 5 (An example followed by a practice exercise)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✅</w:t>
      </w:r>
    </w:p>
    <w:p>
      <w:pPr>
        <w:pStyle w:val="SourceCode"/>
      </w:pPr>
      <w:r>
        <w:rPr>
          <w:rStyle w:val="NormalTok"/>
        </w:rPr>
        <w:t xml:space="preserve">::: {#exm-sample-mean}</w:t>
      </w:r>
      <w:r>
        <w:br/>
      </w:r>
      <w:r>
        <w:rPr>
          <w:rStyle w:val="NormalTok"/>
        </w:rPr>
        <w:t xml:space="preserve">(the sample mean of one variable in a real dataset, computed by a code chunk)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::: {#exr-sample-mean-new-variable}</w:t>
      </w:r>
      <w:r>
        <w:br/>
      </w:r>
      <w:r>
        <w:rPr>
          <w:rStyle w:val="NormalTok"/>
        </w:rPr>
        <w:t xml:space="preserve">Compute the sample mean of a different variable in the same dataset.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::: {#sol-sample-mean-new-variable}</w:t>
      </w:r>
      <w:r>
        <w:br/>
      </w:r>
      <w:r>
        <w:rPr>
          <w:rStyle w:val="NormalTok"/>
        </w:rPr>
        <w:t xml:space="preserve">(the code chunk and its output)</w:t>
      </w:r>
      <w:r>
        <w:br/>
      </w:r>
      <w:r>
        <w:rPr>
          <w:rStyle w:val="NormalTok"/>
        </w:rPr>
        <w:t xml:space="preserve">:::</w:t>
      </w:r>
    </w:p>
    <w:p>
      <w:pPr>
        <w:pStyle w:val="FirstParagraph"/>
      </w:pPr>
      <w:r>
        <w:t xml:space="preserve">The example shows the method once.</w:t>
      </w:r>
      <w:r>
        <w:t xml:space="preserve"> </w:t>
      </w:r>
      <w:r>
        <w:t xml:space="preserve">The exercise asks the reader to repeat it on a new variable</w:t>
      </w:r>
      <w:r>
        <w:t xml:space="preserve"> </w:t>
      </w:r>
      <w:r>
        <w:t xml:space="preserve">before moving on, and the solution’s numbers still come from running code</w:t>
      </w:r>
      <w:r>
        <w:t xml:space="preserve"> </w:t>
      </w:r>
      <w:r>
        <w:t xml:space="preserve">(see</w:t>
      </w:r>
      <w:r>
        <w:t xml:space="preserve"> </w:t>
      </w:r>
      <w:hyperlink w:anchor="use-real-data-and-compute-every-number">
        <w:r>
          <w:rPr>
            <w:rStyle w:val="Hyperlink"/>
          </w:rPr>
          <w:t xml:space="preserve">Use real data and compute every number</w:t>
        </w:r>
      </w:hyperlink>
      <w:r>
        <w:t xml:space="preserve">).</w:t>
      </w:r>
    </w:p>
    <w:bookmarkEnd w:id="52"/>
    <w:bookmarkEnd w:id="53"/>
    <w:bookmarkStart w:id="57" w:name="Xf27331f4c36c8d578e5fa29a37312484cc3343a"/>
    <w:p>
      <w:pPr>
        <w:pStyle w:val="Heading1"/>
      </w:pPr>
      <w:r>
        <w:t xml:space="preserve">16. Write labs for both languages and any computer</w:t>
      </w:r>
    </w:p>
    <w:p>
      <w:pPr>
        <w:pStyle w:val="FirstParagraph"/>
      </w:pPr>
      <w:r>
        <w:t xml:space="preserve">These rules apply to all teaching materials,</w:t>
      </w:r>
      <w:r>
        <w:t xml:space="preserve"> </w:t>
      </w:r>
      <w:r>
        <w:t xml:space="preserve">in every course and every teaching repository, not only to one course.</w:t>
      </w:r>
    </w:p>
    <w:p>
      <w:pPr>
        <w:pStyle w:val="Compact"/>
        <w:numPr>
          <w:ilvl w:val="0"/>
          <w:numId w:val="1013"/>
        </w:numPr>
      </w:pPr>
      <w:r>
        <w:t xml:space="preserve">Give labs and code exercises in both R and Python, side by side.</w:t>
      </w:r>
    </w:p>
    <w:p>
      <w:pPr>
        <w:pStyle w:val="Compact"/>
        <w:numPr>
          <w:ilvl w:val="0"/>
          <w:numId w:val="1013"/>
        </w:numPr>
      </w:pPr>
      <w:r>
        <w:t xml:space="preserve">Put each step’s Python and R pair in its own tabset with</w:t>
      </w:r>
      <w:r>
        <w:t xml:space="preserve"> </w:t>
      </w:r>
      <w:r>
        <w:rPr>
          <w:rStyle w:val="VerbatimChar"/>
        </w:rPr>
        <w:t xml:space="preserve">group="language"</w:t>
      </w:r>
      <w:r>
        <w:t xml:space="preserve">.</w:t>
      </w:r>
      <w:r>
        <w:t xml:space="preserve"> </w:t>
      </w:r>
      <w:r>
        <w:t xml:space="preserve">Start a new tabset whenever prose or a new step sits between code chunks,</w:t>
      </w:r>
      <w:r>
        <w:t xml:space="preserve"> </w:t>
      </w:r>
      <w:r>
        <w:t xml:space="preserve">so the reader sees one step’s code in one language at a time.</w:t>
      </w:r>
      <w:r>
        <w:t xml:space="preserve"> </w:t>
      </w:r>
      <w:r>
        <w:t xml:space="preserve">The shared group makes one choice of language apply to every tabset on the page,</w:t>
      </w:r>
      <w:r>
        <w:t xml:space="preserve"> </w:t>
      </w:r>
      <w:r>
        <w:t xml:space="preserve">as long as the tab headings use identical text in every tabset, such as always</w:t>
      </w:r>
      <w:r>
        <w:t xml:space="preserve"> </w:t>
      </w:r>
      <w:r>
        <w:t xml:space="preserve">“R”</w:t>
      </w:r>
      <w:r>
        <w:t xml:space="preserve"> </w:t>
      </w:r>
      <w:r>
        <w:t xml:space="preserve">and</w:t>
      </w:r>
      <w:r>
        <w:t xml:space="preserve"> </w:t>
      </w:r>
      <w:r>
        <w:t xml:space="preserve">“Python”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Write the R code with</w:t>
      </w:r>
      <w:r>
        <w:t xml:space="preserve"> </w:t>
      </w:r>
      <w:hyperlink r:id="rId54">
        <w:r>
          <w:rPr>
            <w:rStyle w:val="Hyperlink"/>
          </w:rPr>
          <w:t xml:space="preserve">tidymodels</w:t>
        </w:r>
      </w:hyperlink>
      <w:r>
        <w:t xml:space="preserve">,</w:t>
      </w:r>
      <w:r>
        <w:t xml:space="preserve"> </w:t>
      </w:r>
      <w:r>
        <w:t xml:space="preserve">or show tidymodels and base R side by side.</w:t>
      </w:r>
      <w:r>
        <w:t xml:space="preserve"> </w:t>
      </w:r>
      <w:r>
        <w:t xml:space="preserve">Do not give base R alone.</w:t>
      </w:r>
      <w:r>
        <w:t xml:space="preserve"> </w:t>
      </w:r>
      <w:hyperlink r:id="rId55">
        <w:r>
          <w:rPr>
            <w:rStyle w:val="Hyperlink"/>
          </w:rPr>
          <w:t xml:space="preserve">ISLR-tidymodels-labs</w:t>
        </w:r>
      </w:hyperlink>
      <w:r>
        <w:t xml:space="preserve"> </w:t>
      </w:r>
      <w:r>
        <w:t xml:space="preserve">shows the style.</w:t>
      </w:r>
    </w:p>
    <w:p>
      <w:pPr>
        <w:pStyle w:val="Compact"/>
        <w:numPr>
          <w:ilvl w:val="0"/>
          <w:numId w:val="1013"/>
        </w:numPr>
      </w:pPr>
      <w:r>
        <w:t xml:space="preserve">When a lab follows a textbook’s lab, use the book’s exercises, data and fitting functions,</w:t>
      </w:r>
      <w:r>
        <w:t xml:space="preserve"> </w:t>
      </w:r>
      <w:r>
        <w:t xml:space="preserve"> </w:t>
      </w:r>
      <w:r>
        <w:t xml:space="preserve">in the book’s order.</w:t>
      </w:r>
      <w:r>
        <w:t xml:space="preserve"> </w:t>
      </w:r>
      <w:r>
        <w:t xml:space="preserve">For the ISL labs, fit Python models with</w:t>
      </w:r>
      <w:r>
        <w:t xml:space="preserve"> </w:t>
      </w:r>
      <w:r>
        <w:rPr>
          <w:rStyle w:val="VerbatimChar"/>
        </w:rPr>
        <w:t xml:space="preserve">statsmodels</w:t>
      </w:r>
      <w:r>
        <w:t xml:space="preserve">’</w:t>
      </w:r>
      <w:r>
        <w:t xml:space="preserve"> </w:t>
      </w:r>
      <w:r>
        <w:rPr>
          <w:rStyle w:val="VerbatimChar"/>
        </w:rPr>
        <w:t xml:space="preserve">sm.OLS</w:t>
      </w:r>
      <w:r>
        <w:t xml:space="preserve">, as</w:t>
      </w:r>
      <w:r>
        <w:t xml:space="preserve"> </w:t>
      </w:r>
      <w:hyperlink r:id="rId56">
        <w:r>
          <w:rPr>
            <w:rStyle w:val="Hyperlink"/>
          </w:rPr>
          <w:t xml:space="preserve">ISLP_labs</w:t>
        </w:r>
      </w:hyperlink>
      <w:r>
        <w:t xml:space="preserve"> </w:t>
      </w:r>
      <w:r>
        <w:t xml:space="preserve">does.</w:t>
      </w:r>
      <w:r>
        <w:t xml:space="preserve"> </w:t>
      </w:r>
      <w:r>
        <w:t xml:space="preserve">If an exercise departs from the book, say why in the lab.</w:t>
      </w:r>
    </w:p>
    <w:p>
      <w:pPr>
        <w:pStyle w:val="Compact"/>
        <w:numPr>
          <w:ilvl w:val="0"/>
          <w:numId w:val="1013"/>
        </w:numPr>
      </w:pPr>
      <w:r>
        <w:t xml:space="preserve">Never throw away an exercise you replace.</w:t>
      </w:r>
      <w:r>
        <w:t xml:space="preserve"> </w:t>
      </w:r>
      <w:r>
        <w:t xml:space="preserve">Either keep both exercises,</w:t>
      </w:r>
      <w:r>
        <w:t xml:space="preserve"> </w:t>
      </w:r>
      <w:r>
        <w:t xml:space="preserve">or keep the replaced one as an outtake:</w:t>
      </w:r>
      <w:r>
        <w:t xml:space="preserve"> </w:t>
      </w:r>
      <w:r>
        <w:t xml:space="preserve">leave its file in place and stop including it.</w:t>
      </w:r>
    </w:p>
    <w:p>
      <w:pPr>
        <w:pStyle w:val="Compact"/>
        <w:numPr>
          <w:ilvl w:val="0"/>
          <w:numId w:val="1013"/>
        </w:numPr>
      </w:pPr>
      <w:r>
        <w:t xml:space="preserve">Tell students where to get the data.</w:t>
      </w:r>
    </w:p>
    <w:p>
      <w:pPr>
        <w:pStyle w:val="Compact"/>
        <w:numPr>
          <w:ilvl w:val="0"/>
          <w:numId w:val="1013"/>
        </w:numPr>
      </w:pPr>
      <w:r>
        <w:t xml:space="preserve">Point students only to places they can open.</w:t>
      </w:r>
      <w:r>
        <w:t xml:space="preserve"> </w:t>
      </w:r>
      <w:r>
        <w:t xml:space="preserve">Students read a course’s published site, not its repository,</w:t>
      </w:r>
      <w:r>
        <w:t xml:space="preserve"> </w:t>
      </w:r>
      <w:r>
        <w:t xml:space="preserve">which is often private.</w:t>
      </w:r>
      <w:r>
        <w:t xml:space="preserve"> </w:t>
      </w:r>
      <w:r>
        <w:t xml:space="preserve">So never send them to a file in the repository,</w:t>
      </w:r>
      <w:r>
        <w:t xml:space="preserve"> </w:t>
      </w:r>
      <w:r>
        <w:t xml:space="preserve">to a</w:t>
      </w:r>
      <w:r>
        <w:t xml:space="preserve"> </w:t>
      </w:r>
      <w:r>
        <w:rPr>
          <w:rStyle w:val="VerbatimChar"/>
        </w:rPr>
        <w:t xml:space="preserve">github.com</w:t>
      </w:r>
      <w:r>
        <w:t xml:space="preserve"> </w:t>
      </w:r>
      <w:r>
        <w:t xml:space="preserve">link into a private repository,</w:t>
      </w:r>
      <w:r>
        <w:t xml:space="preserve"> </w:t>
      </w:r>
      <w:r>
        <w:t xml:space="preserve">or to</w:t>
      </w:r>
      <w:r>
        <w:t xml:space="preserve"> </w:t>
      </w:r>
      <w:r>
        <w:t xml:space="preserve">“the copy in this repository”</w:t>
      </w:r>
      <w:r>
        <w:t xml:space="preserve">.</w:t>
      </w:r>
      <w:r>
        <w:t xml:space="preserve"> </w:t>
      </w:r>
      <w:r>
        <w:t xml:space="preserve">Link a data file from the published site,</w:t>
      </w:r>
      <w:r>
        <w:t xml:space="preserve"> </w:t>
      </w:r>
      <w:r>
        <w:t xml:space="preserve">from a public repository or package,</w:t>
      </w:r>
      <w:r>
        <w:t xml:space="preserve"> </w:t>
      </w:r>
      <w:r>
        <w:t xml:space="preserve">or from the data’s original public source.</w:t>
      </w:r>
    </w:p>
    <w:p>
      <w:pPr>
        <w:pStyle w:val="Compact"/>
        <w:numPr>
          <w:ilvl w:val="0"/>
          <w:numId w:val="1013"/>
        </w:numPr>
      </w:pPr>
      <w:r>
        <w:t xml:space="preserve">Do not assume that students own a laptop.</w:t>
      </w:r>
      <w:r>
        <w:t xml:space="preserve"> </w:t>
      </w:r>
      <w:r>
        <w:t xml:space="preserve">Assume only that they can use some computer,</w:t>
      </w:r>
      <w:r>
        <w:t xml:space="preserve"> </w:t>
      </w:r>
      <w:r>
        <w:t xml:space="preserve">so setup steps must work on a shared or hosted machine.</w:t>
      </w:r>
    </w:p>
    <w:bookmarkEnd w:id="57"/>
    <w:bookmarkStart w:id="58" w:name="phrase-optional-steps-as-conditions"/>
    <w:p>
      <w:pPr>
        <w:pStyle w:val="Heading1"/>
      </w:pPr>
      <w:r>
        <w:t xml:space="preserve">17. Phrase optional steps as conditions</w:t>
      </w:r>
    </w:p>
    <w:p>
      <w:pPr>
        <w:pStyle w:val="FirstParagraph"/>
      </w:pPr>
      <w:r>
        <w:t xml:space="preserve">An instruction that applies to only some readers reads as an order to all of them.</w:t>
      </w:r>
      <w:r>
        <w:t xml:space="preserve"> </w:t>
      </w:r>
      <w:r>
        <w:t xml:space="preserve">Put the condition first, then the instruction,</w:t>
      </w:r>
      <w:r>
        <w:t xml:space="preserve"> </w:t>
      </w:r>
      <w:r>
        <w:t xml:space="preserve">as in</w:t>
      </w:r>
      <w:r>
        <w:t xml:space="preserve"> </w:t>
      </w:r>
      <w:r>
        <w:t xml:space="preserve">“If you use a language other than R or Python, …”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State the condition at the start of the sentence, as</w:t>
      </w:r>
      <w:r>
        <w:t xml:space="preserve"> </w:t>
      </w:r>
      <w:r>
        <w:t xml:space="preserve">“If you …, do …”</w:t>
      </w:r>
      <w:r>
        <w:t xml:space="preserve">.</w:t>
      </w:r>
      <w:r>
        <w:t xml:space="preserve"> </w:t>
      </w:r>
      <w:r>
        <w:t xml:space="preserve">The reader who is not in that case can stop reading at the comma.</w:t>
      </w:r>
    </w:p>
    <w:p>
      <w:pPr>
        <w:pStyle w:val="Compact"/>
        <w:numPr>
          <w:ilvl w:val="0"/>
          <w:numId w:val="1014"/>
        </w:numPr>
      </w:pPr>
      <w:r>
        <w:t xml:space="preserve">Do not open with a bare imperative that only some readers should follow.</w:t>
      </w:r>
    </w:p>
    <w:p>
      <w:pPr>
        <w:pStyle w:val="Compact"/>
        <w:numPr>
          <w:ilvl w:val="0"/>
          <w:numId w:val="1014"/>
        </w:numPr>
      </w:pPr>
      <w:r>
        <w:t xml:space="preserve">Where a step can be skipped, say what the reader loses or what to do instead.</w:t>
      </w:r>
    </w:p>
    <w:p>
      <w:pPr>
        <w:pStyle w:val="Compact"/>
        <w:numPr>
          <w:ilvl w:val="0"/>
          <w:numId w:val="1014"/>
        </w:numPr>
      </w:pPr>
      <w:r>
        <w:t xml:space="preserve">Give each case its own sentence.</w:t>
      </w:r>
    </w:p>
    <w:p>
      <w:pPr>
        <w:pStyle w:val="FirstParagraph"/>
      </w:pPr>
      <w:r>
        <w:t xml:space="preserve">The labs in the reference text write optional work this way.</w:t>
      </w:r>
      <w:r>
        <w:t xml:space="preserve"> </w:t>
      </w:r>
      <w:r>
        <w:t xml:space="preserve">They state the condition first and then the consequence:</w:t>
      </w:r>
      <w:r>
        <w:t xml:space="preserve"> </w:t>
      </w:r>
      <w:r>
        <w:t xml:space="preserve">“If you have not installed ggplot2, then the code below will still run, but the plot will be less attractive”</w:t>
      </w:r>
      <w:r>
        <w:t xml:space="preserve"> </w:t>
      </w:r>
      <w:r>
        <w:t xml:space="preserve">(James et al. 2021, sec. 10.9, p. 445)</w:t>
      </w:r>
      <w:r>
        <w:t xml:space="preserve">.</w:t>
      </w:r>
      <w:r>
        <w:t xml:space="preserve"> </w:t>
      </w:r>
      <w:r>
        <w:t xml:space="preserve">They give an alternative to the reader who is short of time:</w:t>
      </w:r>
      <w:r>
        <w:t xml:space="preserve"> </w:t>
      </w:r>
      <w:r>
        <w:t xml:space="preserve">“If you are in a rush, then you could set B equal to a smaller value (e.g. B = 500)”</w:t>
      </w:r>
      <w:r>
        <w:t xml:space="preserve"> </w:t>
      </w:r>
      <w:r>
        <w:t xml:space="preserve">(James et al. 2021, sec. 13.6, p. 587)</w:t>
      </w:r>
      <w:r>
        <w:t xml:space="preserve">.</w:t>
      </w:r>
      <w:r>
        <w:t xml:space="preserve"> </w:t>
      </w:r>
      <w:r>
        <w:t xml:space="preserve">They label a step that has no condition and say when to do it:</w:t>
      </w:r>
      <w:r>
        <w:t xml:space="preserve"> </w:t>
      </w:r>
      <w:r>
        <w:t xml:space="preserve">“this step is optional and should be performed only if we want each gene to be on the same scale”</w:t>
      </w:r>
      <w:r>
        <w:t xml:space="preserve"> </w:t>
      </w:r>
      <w:r>
        <w:t xml:space="preserve">(James et al. 2021, sec. 12.5, p. 543)</w:t>
      </w:r>
      <w:r>
        <w:t xml:space="preserve">.</w:t>
      </w:r>
    </w:p>
    <w:p>
      <w:pPr>
        <w:pStyle w:val="BlockText"/>
      </w:pPr>
      <w:r>
        <w:t xml:space="preserve">❌ In another language, use a port of</w:t>
      </w:r>
      <w:r>
        <w:t xml:space="preserve"> </w:t>
      </w:r>
      <w:r>
        <w:rPr>
          <w:rStyle w:val="VerbatimChar"/>
        </w:rPr>
        <w:t xml:space="preserve">SyncRNG</w:t>
      </w:r>
      <w:r>
        <w:t xml:space="preserve"> </w:t>
      </w:r>
      <w:r>
        <w:t xml:space="preserve">to get the same data;</w:t>
      </w:r>
      <w:r>
        <w:t xml:space="preserve"> </w:t>
      </w:r>
      <w:r>
        <w:t xml:space="preserve">without one, draw your own data from the same model.</w:t>
      </w:r>
    </w:p>
    <w:p>
      <w:pPr>
        <w:pStyle w:val="BlockText"/>
      </w:pPr>
      <w:r>
        <w:t xml:space="preserve">✅ If you use a language other than R or Python, use a port of</w:t>
      </w:r>
      <w:r>
        <w:t xml:space="preserve"> </w:t>
      </w:r>
      <w:r>
        <w:rPr>
          <w:rStyle w:val="VerbatimChar"/>
        </w:rPr>
        <w:t xml:space="preserve">SyncRNG</w:t>
      </w:r>
      <w:r>
        <w:t xml:space="preserve"> </w:t>
      </w:r>
      <w:r>
        <w:t xml:space="preserve">to get the same data.</w:t>
      </w:r>
      <w:r>
        <w:t xml:space="preserve"> </w:t>
      </w:r>
      <w:r>
        <w:t xml:space="preserve">If no port exists, draw your own data from the same model;</w:t>
      </w:r>
      <w:r>
        <w:t xml:space="preserve"> </w:t>
      </w:r>
      <w:r>
        <w:t xml:space="preserve">your numbers will differ slightly from the key’s.</w:t>
      </w:r>
    </w:p>
    <w:bookmarkEnd w:id="58"/>
    <w:bookmarkStart w:id="59" w:name="Xf53ecb3398b87b82ffd1a126dd02e87a65bb694"/>
    <w:p>
      <w:pPr>
        <w:pStyle w:val="Heading1"/>
      </w:pPr>
      <w:r>
        <w:t xml:space="preserve">18. Keep each step’s code in one chunk, and put parallel chunks in a language tabset</w:t>
      </w:r>
    </w:p>
    <w:p>
      <w:pPr>
        <w:pStyle w:val="FirstParagraph"/>
      </w:pPr>
      <w:r>
        <w:t xml:space="preserve">This rule applies to every executed code chunk in teaching materials,</w:t>
      </w:r>
      <w:r>
        <w:t xml:space="preserve"> </w:t>
      </w:r>
      <w:r>
        <w:t xml:space="preserve">in every course and every teaching repository, in every language.</w:t>
      </w:r>
    </w:p>
    <w:p>
      <w:pPr>
        <w:pStyle w:val="Compact"/>
        <w:numPr>
          <w:ilvl w:val="0"/>
          <w:numId w:val="1015"/>
        </w:numPr>
      </w:pPr>
      <w:r>
        <w:t xml:space="preserve">Put parallel versions of one computation in one language tabset, never one chunk after another.</w:t>
      </w:r>
      <w:r>
        <w:t xml:space="preserve"> </w:t>
      </w:r>
      <w:r>
        <w:t xml:space="preserve">A reader should see one language at a time.</w:t>
      </w:r>
    </w:p>
    <w:p>
      <w:pPr>
        <w:pStyle w:val="Compact"/>
        <w:numPr>
          <w:ilvl w:val="0"/>
          <w:numId w:val="1015"/>
        </w:numPr>
      </w:pPr>
      <w:r>
        <w:t xml:space="preserve">Write one chunk for each step of the computation.</w:t>
      </w:r>
      <w:r>
        <w:t xml:space="preserve"> </w:t>
      </w:r>
      <w:r>
        <w:t xml:space="preserve">A figure’s code is one chunk, even when it takes ten lines.</w:t>
      </w:r>
    </w:p>
    <w:p>
      <w:pPr>
        <w:pStyle w:val="Compact"/>
        <w:numPr>
          <w:ilvl w:val="0"/>
          <w:numId w:val="1015"/>
        </w:numPr>
      </w:pPr>
      <w:r>
        <w:t xml:space="preserve">Split a chunk only for a reason that the reader can see:</w:t>
      </w:r>
    </w:p>
    <w:p>
      <w:pPr>
        <w:pStyle w:val="Compact"/>
        <w:numPr>
          <w:ilvl w:val="1"/>
          <w:numId w:val="1016"/>
        </w:numPr>
      </w:pPr>
      <w:r>
        <w:rPr>
          <w:b/>
          <w:bCs/>
        </w:rPr>
        <w:t xml:space="preserve">Own label or options</w:t>
      </w:r>
      <w:r>
        <w:t xml:space="preserve">: the second part needs its own label, caption or chunk options.</w:t>
      </w:r>
    </w:p>
    <w:p>
      <w:pPr>
        <w:pStyle w:val="Compact"/>
        <w:numPr>
          <w:ilvl w:val="1"/>
          <w:numId w:val="1016"/>
        </w:numPr>
      </w:pPr>
      <w:r>
        <w:rPr>
          <w:b/>
          <w:bCs/>
        </w:rPr>
        <w:t xml:space="preserve">Separate output</w:t>
      </w:r>
      <w:r>
        <w:t xml:space="preserve">: the second part shows output that the first part should not.</w:t>
      </w:r>
    </w:p>
    <w:p>
      <w:pPr>
        <w:pStyle w:val="Compact"/>
        <w:numPr>
          <w:ilvl w:val="1"/>
          <w:numId w:val="1016"/>
        </w:numPr>
      </w:pPr>
      <w:r>
        <w:rPr>
          <w:b/>
          <w:bCs/>
        </w:rPr>
        <w:t xml:space="preserve">Dependent prose</w:t>
      </w:r>
      <w:r>
        <w:t xml:space="preserve">: prose between the parts needs the first part’s output.</w:t>
      </w:r>
    </w:p>
    <w:p>
      <w:pPr>
        <w:pStyle w:val="Compact"/>
        <w:numPr>
          <w:ilvl w:val="0"/>
          <w:numId w:val="1015"/>
        </w:numPr>
      </w:pPr>
      <w:r>
        <w:t xml:space="preserve">Do not split a chunk to name its parts, or to keep it short.</w:t>
      </w:r>
      <w:r>
        <w:t xml:space="preserve"> </w:t>
      </w:r>
      <w:r>
        <w:t xml:space="preserve">Comments name the parts</w:t>
      </w:r>
      <w:r>
        <w:t xml:space="preserve"> </w:t>
      </w:r>
      <w:r>
        <w:t xml:space="preserve">(see</w:t>
      </w:r>
      <w:r>
        <w:t xml:space="preserve"> </w:t>
      </w:r>
      <w:hyperlink w:anchor="X7c0de8eaf50a5b2644eabf66f1f9b734b8a4a71">
        <w:r>
          <w:rPr>
            <w:rStyle w:val="Hyperlink"/>
          </w:rPr>
          <w:t xml:space="preserve">Comment every code chunk to say what and why</w:t>
        </w:r>
      </w:hyperlink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t xml:space="preserve">Give a chunk that only stores values for later code or inline code</w:t>
      </w:r>
      <w:r>
        <w:t xml:space="preserve"> </w:t>
      </w:r>
      <w:r>
        <w:rPr>
          <w:rStyle w:val="VerbatimChar"/>
        </w:rPr>
        <w:t xml:space="preserve">#| include: false</w:t>
      </w:r>
      <w:r>
        <w:t xml:space="preserve">.</w:t>
      </w:r>
      <w:r>
        <w:t xml:space="preserve"> </w:t>
      </w:r>
      <w:r>
        <w:t xml:space="preserve">When the chunk that computes those values is already hidden, merge the storing code into that chunk.</w:t>
      </w:r>
    </w:p>
    <w:p>
      <w:pPr>
        <w:pStyle w:val="Compact"/>
        <w:numPr>
          <w:ilvl w:val="0"/>
          <w:numId w:val="1015"/>
        </w:numPr>
      </w:pPr>
      <w:r>
        <w:t xml:space="preserve">Check for output that splits a chunk without a reason.</w:t>
      </w:r>
      <w:r>
        <w:t xml:space="preserve"> </w:t>
      </w:r>
      <w:r>
        <w:t xml:space="preserve">In Python, reticulate prints the value of each top-level call that returns something other than</w:t>
      </w:r>
      <w:r>
        <w:t xml:space="preserve"> </w:t>
      </w:r>
      <w:r>
        <w:rPr>
          <w:rStyle w:val="VerbatimChar"/>
        </w:rPr>
        <w:t xml:space="preserve">None</w:t>
      </w:r>
      <w:r>
        <w:t xml:space="preserve"> </w:t>
      </w:r>
      <w:r>
        <w:t xml:space="preserve">and shows the chunk as one code block per printed value,</w:t>
      </w:r>
      <w:r>
        <w:t xml:space="preserve"> </w:t>
      </w:r>
      <w:r>
        <w:t xml:space="preserve">such as a</w:t>
      </w:r>
      <w:r>
        <w:t xml:space="preserve"> </w:t>
      </w:r>
      <w:r>
        <w:rPr>
          <w:rStyle w:val="VerbatimChar"/>
        </w:rPr>
        <w:t xml:space="preserve">&lt;matplotlib.lines.Line2D object at 0x...&gt;</w:t>
      </w:r>
      <w:r>
        <w:t xml:space="preserve"> </w:t>
      </w:r>
      <w:r>
        <w:t xml:space="preserve">line after every</w:t>
      </w:r>
      <w:r>
        <w:t xml:space="preserve"> </w:t>
      </w:r>
      <w:r>
        <w:rPr>
          <w:rStyle w:val="VerbatimChar"/>
        </w:rPr>
        <w:t xml:space="preserve">ax.plot(...)</w:t>
      </w:r>
      <w:r>
        <w:t xml:space="preserve">.</w:t>
      </w:r>
      <w:r>
        <w:t xml:space="preserve"> </w:t>
      </w:r>
      <w:r>
        <w:t xml:space="preserve">End each such call with a semicolon, or assign its value.</w:t>
      </w:r>
    </w:p>
    <w:bookmarkEnd w:id="59"/>
    <w:bookmarkStart w:id="68" w:name="present-r-results-with-modern-packages"/>
    <w:p>
      <w:pPr>
        <w:pStyle w:val="Heading1"/>
      </w:pPr>
      <w:r>
        <w:t xml:space="preserve">19. Present R results with modern packages</w:t>
      </w:r>
    </w:p>
    <w:p>
      <w:pPr>
        <w:pStyle w:val="FirstParagraph"/>
      </w:pPr>
      <w:r>
        <w:t xml:space="preserve">This rule applies to all R code in teaching materials,</w:t>
      </w:r>
      <w:r>
        <w:t xml:space="preserve"> </w:t>
      </w:r>
      <w:r>
        <w:t xml:space="preserve">in every course and every teaching repository.</w:t>
      </w:r>
    </w:p>
    <w:p>
      <w:pPr>
        <w:pStyle w:val="Compact"/>
        <w:numPr>
          <w:ilvl w:val="0"/>
          <w:numId w:val="1017"/>
        </w:numPr>
      </w:pPr>
      <w:r>
        <w:t xml:space="preserve">Even when you fit a model with a base R function such as</w:t>
      </w:r>
      <w:r>
        <w:t xml:space="preserve"> </w:t>
      </w:r>
      <w:r>
        <w:rPr>
          <w:rStyle w:val="VerbatimChar"/>
        </w:rPr>
        <w:t xml:space="preserve">lm()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glm()</w:t>
      </w:r>
      <w:r>
        <w:t xml:space="preserve">,</w:t>
      </w:r>
      <w:r>
        <w:t xml:space="preserve"> </w:t>
      </w:r>
      <w:r>
        <w:t xml:space="preserve"> </w:t>
      </w:r>
      <w:r>
        <w:t xml:space="preserve">show its results with modern packages, not with base R output.</w:t>
      </w:r>
    </w:p>
    <w:p>
      <w:pPr>
        <w:pStyle w:val="Compact"/>
        <w:numPr>
          <w:ilvl w:val="0"/>
          <w:numId w:val="1017"/>
        </w:numPr>
      </w:pPr>
      <w:r>
        <w:t xml:space="preserve">Show coefficient tables with</w:t>
      </w:r>
      <w:r>
        <w:t xml:space="preserve"> </w:t>
      </w:r>
      <w:hyperlink r:id="rId60">
        <w:r>
          <w:rPr>
            <w:rStyle w:val="Hyperlink"/>
          </w:rPr>
          <w:t xml:space="preserve">parameters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parameters() |&gt; print_md()</w:t>
      </w:r>
      <w:r>
        <w:t xml:space="preserve">)</w:t>
      </w:r>
      <w:r>
        <w:t xml:space="preserve"> </w:t>
      </w:r>
      <w:r>
        <w:t xml:space="preserve">or</w:t>
      </w:r>
      <w:r>
        <w:t xml:space="preserve"> </w:t>
      </w:r>
      <w:hyperlink r:id="rId61">
        <w:r>
          <w:rPr>
            <w:rStyle w:val="Hyperlink"/>
          </w:rPr>
          <w:t xml:space="preserve">gtsummary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tbl_regression()</w:t>
      </w:r>
      <w:r>
        <w:t xml:space="preserve">),</w:t>
      </w:r>
      <w:r>
        <w:t xml:space="preserve"> </w:t>
      </w:r>
      <w:r>
        <w:t xml:space="preserve">not with</w:t>
      </w:r>
      <w:r>
        <w:t xml:space="preserve"> </w:t>
      </w:r>
      <w:r>
        <w:rPr>
          <w:rStyle w:val="VerbatimChar"/>
        </w:rPr>
        <w:t xml:space="preserve">summary()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coef(summary())</w:t>
      </w:r>
      <w:r>
        <w:t xml:space="preserve"> </w:t>
      </w:r>
      <w:r>
        <w:t xml:space="preserve">printouts.</w:t>
      </w:r>
    </w:p>
    <w:p>
      <w:pPr>
        <w:pStyle w:val="Compact"/>
        <w:numPr>
          <w:ilvl w:val="0"/>
          <w:numId w:val="1017"/>
        </w:numPr>
      </w:pPr>
      <w:r>
        <w:t xml:space="preserve">Draw figures with</w:t>
      </w:r>
      <w:r>
        <w:t xml:space="preserve"> </w:t>
      </w:r>
      <w:hyperlink r:id="rId62">
        <w:r>
          <w:rPr>
            <w:rStyle w:val="Hyperlink"/>
          </w:rPr>
          <w:t xml:space="preserve">ggplot2</w:t>
        </w:r>
      </w:hyperlink>
      <w:r>
        <w:t xml:space="preserve">,</w:t>
      </w:r>
      <w:r>
        <w:t xml:space="preserve"> </w:t>
      </w:r>
      <w:r>
        <w:t xml:space="preserve">not with base graphics such as</w:t>
      </w:r>
      <w:r>
        <w:t xml:space="preserve"> </w:t>
      </w:r>
      <w:r>
        <w:rPr>
          <w:rStyle w:val="VerbatimChar"/>
        </w:rPr>
        <w:t xml:space="preserve">plot()</w:t>
      </w:r>
      <w:r>
        <w:t xml:space="preserve">,</w:t>
      </w:r>
      <w:r>
        <w:t xml:space="preserve"> </w:t>
      </w:r>
      <w:r>
        <w:rPr>
          <w:rStyle w:val="VerbatimChar"/>
        </w:rPr>
        <w:t xml:space="preserve">lines()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abline()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Draw model plots with packages built on ggplot2:</w:t>
      </w:r>
      <w:r>
        <w:t xml:space="preserve"> </w:t>
      </w:r>
      <w:hyperlink r:id="rId63">
        <w:r>
          <w:rPr>
            <w:rStyle w:val="Hyperlink"/>
          </w:rPr>
          <w:t xml:space="preserve">sjPlot</w:t>
        </w:r>
      </w:hyperlink>
      <w:r>
        <w:t xml:space="preserve"> </w:t>
      </w:r>
      <w:r>
        <w:t xml:space="preserve">or</w:t>
      </w:r>
      <w:r>
        <w:t xml:space="preserve"> </w:t>
      </w:r>
      <w:hyperlink r:id="rId64">
        <w:r>
          <w:rPr>
            <w:rStyle w:val="Hyperlink"/>
          </w:rPr>
          <w:t xml:space="preserve">ggeffects</w:t>
        </w:r>
      </w:hyperlink>
      <w:r>
        <w:t xml:space="preserve"> </w:t>
      </w:r>
      <w:r>
        <w:t xml:space="preserve">for predictions,</w:t>
      </w:r>
      <w:r>
        <w:t xml:space="preserve"> </w:t>
      </w:r>
      <w:r>
        <w:t xml:space="preserve">and</w:t>
      </w:r>
      <w:r>
        <w:t xml:space="preserve"> </w:t>
      </w:r>
      <w:hyperlink r:id="rId65">
        <w:r>
          <w:rPr>
            <w:rStyle w:val="Hyperlink"/>
          </w:rPr>
          <w:t xml:space="preserve">performance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check_model()</w:t>
      </w:r>
      <w:r>
        <w:t xml:space="preserve"> </w:t>
      </w:r>
      <w:r>
        <w:t xml:space="preserve">for diagnostic plots.</w:t>
      </w:r>
    </w:p>
    <w:p>
      <w:pPr>
        <w:pStyle w:val="Compact"/>
        <w:numPr>
          <w:ilvl w:val="0"/>
          <w:numId w:val="1017"/>
        </w:numPr>
      </w:pPr>
      <w:r>
        <w:t xml:space="preserve">Show model fit statistics with performance’s</w:t>
      </w:r>
      <w:r>
        <w:t xml:space="preserve"> </w:t>
      </w:r>
      <w:r>
        <w:rPr>
          <w:rStyle w:val="VerbatimChar"/>
        </w:rPr>
        <w:t xml:space="preserve">model_performance()</w:t>
      </w:r>
      <w:r>
        <w:t xml:space="preserve"> </w:t>
      </w:r>
      <w:r>
        <w:t xml:space="preserve">or</w:t>
      </w:r>
      <w:r>
        <w:t xml:space="preserve"> </w:t>
      </w:r>
      <w:hyperlink r:id="rId66">
        <w:r>
          <w:rPr>
            <w:rStyle w:val="Hyperlink"/>
          </w:rPr>
          <w:t xml:space="preserve">broom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glance()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Ezra’s</w:t>
      </w:r>
      <w:r>
        <w:t xml:space="preserve"> </w:t>
      </w:r>
      <w:hyperlink r:id="rId67">
        <w:r>
          <w:rPr>
            <w:rStyle w:val="Hyperlink"/>
          </w:rPr>
          <w:t xml:space="preserve">rme</w:t>
        </w:r>
      </w:hyperlink>
      <w:r>
        <w:t xml:space="preserve"> </w:t>
      </w:r>
      <w:r>
        <w:t xml:space="preserve">notes show the style.</w:t>
      </w:r>
    </w:p>
    <w:bookmarkEnd w:id="68"/>
    <w:bookmarkStart w:id="72" w:name="manipulate-data-with-dplyr-not-base-r"/>
    <w:p>
      <w:pPr>
        <w:pStyle w:val="Heading1"/>
      </w:pPr>
      <w:r>
        <w:t xml:space="preserve">20. Manipulate data with dplyr, not base R</w:t>
      </w:r>
    </w:p>
    <w:p>
      <w:pPr>
        <w:pStyle w:val="FirstParagraph"/>
      </w:pPr>
      <w:r>
        <w:t xml:space="preserve">This rule applies to all R code in teaching materials,</w:t>
      </w:r>
      <w:r>
        <w:t xml:space="preserve"> </w:t>
      </w:r>
      <w:r>
        <w:t xml:space="preserve">in every course and every teaching repository.</w:t>
      </w:r>
    </w:p>
    <w:p>
      <w:pPr>
        <w:pStyle w:val="Compact"/>
        <w:numPr>
          <w:ilvl w:val="0"/>
          <w:numId w:val="1018"/>
        </w:numPr>
      </w:pPr>
      <w:r>
        <w:t xml:space="preserve">Select columns with</w:t>
      </w:r>
      <w:r>
        <w:t xml:space="preserve"> </w:t>
      </w:r>
      <w:hyperlink r:id="rId69">
        <w:r>
          <w:rPr>
            <w:rStyle w:val="Hyperlink"/>
          </w:rPr>
          <w:t xml:space="preserve">dplyr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select()</w:t>
      </w:r>
      <w:r>
        <w:t xml:space="preserve">,</w:t>
      </w:r>
      <w:r>
        <w:t xml:space="preserve"> </w:t>
      </w:r>
      <w:r>
        <w:t xml:space="preserve">not with</w:t>
      </w:r>
      <w:r>
        <w:t xml:space="preserve"> </w:t>
      </w:r>
      <w:r>
        <w:rPr>
          <w:rStyle w:val="VerbatimChar"/>
        </w:rPr>
        <w:t xml:space="preserve">df[, c("a", "b")]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df[c("a", "b")]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Filter rows with</w:t>
      </w:r>
      <w:r>
        <w:t xml:space="preserve"> </w:t>
      </w:r>
      <w:r>
        <w:rPr>
          <w:rStyle w:val="VerbatimChar"/>
        </w:rPr>
        <w:t xml:space="preserve">filter()</w:t>
      </w:r>
      <w:r>
        <w:t xml:space="preserve">, not with</w:t>
      </w:r>
      <w:r>
        <w:t xml:space="preserve"> </w:t>
      </w:r>
      <w:r>
        <w:rPr>
          <w:rStyle w:val="VerbatimChar"/>
        </w:rPr>
        <w:t xml:space="preserve">df[df$x &gt; 0, ]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subset()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Add or change columns with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, not with</w:t>
      </w:r>
      <w:r>
        <w:t xml:space="preserve"> </w:t>
      </w:r>
      <w:r>
        <w:rPr>
          <w:rStyle w:val="VerbatimChar"/>
        </w:rPr>
        <w:t xml:space="preserve">df$new &lt;- ...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Drop rows with missing values with</w:t>
      </w:r>
      <w:r>
        <w:t xml:space="preserve"> </w:t>
      </w:r>
      <w:hyperlink r:id="rId70">
        <w:r>
          <w:rPr>
            <w:rStyle w:val="Hyperlink"/>
          </w:rPr>
          <w:t xml:space="preserve">tidyr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drop_na()</w:t>
      </w:r>
      <w:r>
        <w:t xml:space="preserve">,</w:t>
      </w:r>
      <w:r>
        <w:t xml:space="preserve"> </w:t>
      </w:r>
      <w:r>
        <w:t xml:space="preserve">not with</w:t>
      </w:r>
      <w:r>
        <w:t xml:space="preserve"> </w:t>
      </w:r>
      <w:r>
        <w:rPr>
          <w:rStyle w:val="VerbatimChar"/>
        </w:rPr>
        <w:t xml:space="preserve">df[complete.cases(df), ]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Stack data frames with</w:t>
      </w:r>
      <w:r>
        <w:t xml:space="preserve"> </w:t>
      </w:r>
      <w:r>
        <w:rPr>
          <w:rStyle w:val="VerbatimChar"/>
        </w:rPr>
        <w:t xml:space="preserve">bind_rows()</w:t>
      </w:r>
      <w:r>
        <w:t xml:space="preserve">, not with</w:t>
      </w:r>
      <w:r>
        <w:t xml:space="preserve"> </w:t>
      </w:r>
      <w:r>
        <w:rPr>
          <w:rStyle w:val="VerbatimChar"/>
        </w:rPr>
        <w:t xml:space="preserve">rbind()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Build data frames with</w:t>
      </w:r>
      <w:r>
        <w:t xml:space="preserve"> </w:t>
      </w:r>
      <w:hyperlink r:id="rId71">
        <w:r>
          <w:rPr>
            <w:rStyle w:val="Hyperlink"/>
          </w:rPr>
          <w:t xml:space="preserve">tibble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tibble()</w:t>
      </w:r>
      <w:r>
        <w:t xml:space="preserve">,</w:t>
      </w:r>
      <w:r>
        <w:t xml:space="preserve"> </w:t>
      </w:r>
      <w:r>
        <w:t xml:space="preserve">not with</w:t>
      </w:r>
      <w:r>
        <w:t xml:space="preserve"> </w:t>
      </w:r>
      <w:r>
        <w:rPr>
          <w:rStyle w:val="VerbatimChar"/>
        </w:rPr>
        <w:t xml:space="preserve">data.frame()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Chain steps with the native pipe</w:t>
      </w:r>
      <w:r>
        <w:t xml:space="preserve"> </w:t>
      </w:r>
      <w:r>
        <w:rPr>
          <w:rStyle w:val="VerbatimChar"/>
        </w:rPr>
        <w:t xml:space="preserve">|&gt;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Do not nest function calls.</w:t>
      </w:r>
      <w:r>
        <w:t xml:space="preserve"> 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tibble(x, y) |&gt; pander()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pander(tibble(x, y))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sizes |&gt; lapply(f) |&gt; bind_rows()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bind_rows(lapply(sizes, f))</w:t>
      </w:r>
      <w:r>
        <w:t xml:space="preserve">.</w:t>
      </w:r>
      <w:r>
        <w:t xml:space="preserve"> </w:t>
      </w:r>
      <w:r>
        <w:t xml:space="preserve">Give a call that would sit inside an argument,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data = filter(df, train)</w:t>
      </w:r>
      <w:r>
        <w:t xml:space="preserve"> </w:t>
      </w:r>
      <w:r>
        <w:t xml:space="preserve">in a model call, a name on its own line first.</w:t>
      </w:r>
    </w:p>
    <w:p>
      <w:pPr>
        <w:pStyle w:val="Compact"/>
        <w:numPr>
          <w:ilvl w:val="0"/>
          <w:numId w:val="1018"/>
        </w:numPr>
      </w:pPr>
      <w:r>
        <w:t xml:space="preserve">Reading one value out of a data frame for inline code is fine,</w:t>
      </w:r>
      <w:r>
        <w:t xml:space="preserve"> </w:t>
      </w:r>
      <w:r>
        <w:t xml:space="preserve">as is indexing a matrix or a vector.</w:t>
      </w:r>
      <w:r>
        <w:t xml:space="preserve"> </w:t>
      </w:r>
      <w:r>
        <w:t xml:space="preserve">The rule is about selecting, filtering and building data frames.</w:t>
      </w:r>
    </w:p>
    <w:bookmarkEnd w:id="72"/>
    <w:bookmarkStart w:id="74" w:name="X2bc6121e3a2f39a37d8a6591d77df16bd22bd0b"/>
    <w:p>
      <w:pPr>
        <w:pStyle w:val="Heading1"/>
      </w:pPr>
      <w:r>
        <w:t xml:space="preserve">21. Include code from files instead of copying it</w:t>
      </w:r>
    </w:p>
    <w:p>
      <w:pPr>
        <w:pStyle w:val="FirstParagraph"/>
      </w:pPr>
      <w:r>
        <w:t xml:space="preserve">This rule applies to code that appears in more than one place in teaching materials.</w:t>
      </w:r>
    </w:p>
    <w:p>
      <w:pPr>
        <w:pStyle w:val="Compact"/>
        <w:numPr>
          <w:ilvl w:val="0"/>
          <w:numId w:val="1019"/>
        </w:numPr>
      </w:pPr>
      <w:r>
        <w:t xml:space="preserve">When the same code appears in several pages, or in a page and a script,</w:t>
      </w:r>
      <w:r>
        <w:t xml:space="preserve"> </w:t>
      </w:r>
      <w:r>
        <w:t xml:space="preserve">keep one source file and include it where it is shown.</w:t>
      </w:r>
      <w:r>
        <w:t xml:space="preserve"> </w:t>
      </w:r>
      <w:r>
        <w:t xml:space="preserve">A copy in each place drifts when one copy is fixed and the others are not</w:t>
      </w:r>
      <w:r>
        <w:t xml:space="preserve"> </w:t>
      </w:r>
      <w:r>
        <w:t xml:space="preserve">(see</w:t>
      </w:r>
      <w:r>
        <w:t xml:space="preserve"> </w:t>
      </w:r>
      <w:hyperlink w:anchor="reuse-one-written-version-of-each-result">
        <w:r>
          <w:rPr>
            <w:rStyle w:val="Hyperlink"/>
          </w:rPr>
          <w:t xml:space="preserve">Reuse one written version of each result</w:t>
        </w:r>
      </w:hyperlink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t xml:space="preserve">Code that the page runs should be an executed chunk, as above.</w:t>
      </w:r>
      <w:r>
        <w:t xml:space="preserve"> </w:t>
      </w:r>
      <w:r>
        <w:t xml:space="preserve">For code that is displayed but not executed on the page,</w:t>
      </w:r>
      <w:r>
        <w:t xml:space="preserve"> </w:t>
      </w:r>
      <w:r>
        <w:t xml:space="preserve">such as a standalone script or a configuration file,</w:t>
      </w:r>
      <w:r>
        <w:t xml:space="preserve"> </w:t>
      </w:r>
      <w:r>
        <w:t xml:space="preserve">Quarto’s</w:t>
      </w:r>
      <w:r>
        <w:t xml:space="preserve"> </w:t>
      </w:r>
      <w:hyperlink r:id="rId73">
        <w:r>
          <w:rPr>
            <w:rStyle w:val="Hyperlink"/>
          </w:rPr>
          <w:t xml:space="preserve">include-code-files</w:t>
        </w:r>
      </w:hyperlink>
      <w:r>
        <w:t xml:space="preserve"> </w:t>
      </w:r>
      <w:r>
        <w:t xml:space="preserve">extension</w:t>
      </w:r>
      <w:r>
        <w:t xml:space="preserve"> </w:t>
      </w:r>
      <w:r>
        <w:t xml:space="preserve">fills a code block from a file.</w:t>
      </w:r>
      <w:r>
        <w:t xml:space="preserve"> </w:t>
      </w:r>
      <w:r>
        <w:t xml:space="preserve">Add</w:t>
      </w:r>
      <w:r>
        <w:t xml:space="preserve"> </w:t>
      </w:r>
      <w:r>
        <w:rPr>
          <w:rStyle w:val="VerbatimChar"/>
        </w:rPr>
        <w:t xml:space="preserve">filters: [include-code-files]</w:t>
      </w:r>
      <w:r>
        <w:t xml:space="preserve"> </w:t>
      </w:r>
      <w:r>
        <w:t xml:space="preserve">to the front matter,</w:t>
      </w:r>
      <w:r>
        <w:t xml:space="preserve"> </w:t>
      </w:r>
      <w:r>
        <w:t xml:space="preserve">then write a code block with an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attribute,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```{.python include="script.py"}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The extension also takes</w:t>
      </w:r>
      <w:r>
        <w:t xml:space="preserve"> </w:t>
      </w:r>
      <w:r>
        <w:rPr>
          <w:rStyle w:val="VerbatimChar"/>
        </w:rPr>
        <w:t xml:space="preserve">start-line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end-line</w:t>
      </w:r>
      <w:r>
        <w:t xml:space="preserve">, to show part of a file.</w:t>
      </w:r>
      <w:r>
        <w:t xml:space="preserve"> </w:t>
      </w:r>
      <w:r>
        <w:t xml:space="preserve">Prefer a range that names the lines you want over a copy of those lines.</w:t>
      </w:r>
    </w:p>
    <w:p>
      <w:pPr>
        <w:pStyle w:val="Compact"/>
        <w:numPr>
          <w:ilvl w:val="0"/>
          <w:numId w:val="1019"/>
        </w:numPr>
      </w:pPr>
      <w:r>
        <w:t xml:space="preserve">The extension is a new dependency of the site:</w:t>
      </w:r>
      <w:r>
        <w:t xml:space="preserve"> </w:t>
      </w:r>
      <w:r>
        <w:t xml:space="preserve">install it with</w:t>
      </w:r>
      <w:r>
        <w:t xml:space="preserve"> </w:t>
      </w:r>
      <w:r>
        <w:rPr>
          <w:rStyle w:val="VerbatimChar"/>
        </w:rPr>
        <w:t xml:space="preserve">quarto add quarto-ext/include-code-files</w:t>
      </w:r>
      <w:r>
        <w:t xml:space="preserve">,</w:t>
      </w:r>
      <w:r>
        <w:t xml:space="preserve"> </w:t>
      </w:r>
      <w:r>
        <w:t xml:space="preserve">and commit the</w:t>
      </w:r>
      <w:r>
        <w:t xml:space="preserve"> </w:t>
      </w:r>
      <w:r>
        <w:rPr>
          <w:rStyle w:val="VerbatimChar"/>
        </w:rPr>
        <w:t xml:space="preserve">_extensions</w:t>
      </w:r>
      <w:r>
        <w:t xml:space="preserve"> </w:t>
      </w:r>
      <w:r>
        <w:t xml:space="preserve">directory it creates.</w:t>
      </w:r>
    </w:p>
    <w:bookmarkEnd w:id="74"/>
    <w:bookmarkStart w:id="75" w:name="X7c0de8eaf50a5b2644eabf66f1f9b734b8a4a71"/>
    <w:p>
      <w:pPr>
        <w:pStyle w:val="Heading1"/>
      </w:pPr>
      <w:r>
        <w:t xml:space="preserve">22. Comment every code chunk to say what and why</w:t>
      </w:r>
    </w:p>
    <w:p>
      <w:pPr>
        <w:pStyle w:val="FirstParagraph"/>
      </w:pPr>
      <w:r>
        <w:t xml:space="preserve">This rule applies to all reader-facing code in teaching materials,</w:t>
      </w:r>
      <w:r>
        <w:t xml:space="preserve"> </w:t>
      </w:r>
      <w:r>
        <w:t xml:space="preserve">in every course and every teaching repository, in every language.</w:t>
      </w:r>
    </w:p>
    <w:p>
      <w:pPr>
        <w:pStyle w:val="Compact"/>
        <w:numPr>
          <w:ilvl w:val="0"/>
          <w:numId w:val="1020"/>
        </w:numPr>
      </w:pPr>
      <w:r>
        <w:t xml:space="preserve">Put comments in each code chunk that explain both</w:t>
      </w:r>
      <w:r>
        <w:t xml:space="preserve"> </w:t>
      </w:r>
      <w:r>
        <w:t xml:space="preserve">what the code is doing and why it does it.</w:t>
      </w:r>
    </w:p>
    <w:p>
      <w:pPr>
        <w:pStyle w:val="Compact"/>
        <w:numPr>
          <w:ilvl w:val="0"/>
          <w:numId w:val="1020"/>
        </w:numPr>
      </w:pPr>
      <w:r>
        <w:t xml:space="preserve">Leave out a comment that would give away the solution in an exercise prompt.</w:t>
      </w:r>
      <w:r>
        <w:t xml:space="preserve"> </w:t>
      </w:r>
      <w:r>
        <w:t xml:space="preserve">Add the comments to the solution’s code instead.</w:t>
      </w:r>
    </w:p>
    <w:p>
      <w:pPr>
        <w:pStyle w:val="Compact"/>
        <w:numPr>
          <w:ilvl w:val="0"/>
          <w:numId w:val="1020"/>
        </w:numPr>
      </w:pPr>
      <w:r>
        <w:t xml:space="preserve">A comment that only restates the code, such as</w:t>
      </w:r>
      <w:r>
        <w:t xml:space="preserve"> </w:t>
      </w:r>
      <w:r>
        <w:rPr>
          <w:rStyle w:val="VerbatimChar"/>
        </w:rPr>
        <w:t xml:space="preserve"># add 1 to x</w:t>
      </w:r>
      <w:r>
        <w:t xml:space="preserve"> </w:t>
      </w:r>
      <w:r>
        <w:t xml:space="preserve">above</w:t>
      </w:r>
      <w:r>
        <w:t xml:space="preserve"> </w:t>
      </w:r>
      <w:r>
        <w:rPr>
          <w:rStyle w:val="VerbatimChar"/>
        </w:rPr>
        <w:t xml:space="preserve">x &lt;- x + 1</w:t>
      </w:r>
      <w:r>
        <w:t xml:space="preserve">,</w:t>
      </w:r>
      <w:r>
        <w:t xml:space="preserve"> </w:t>
      </w:r>
      <w:r>
        <w:t xml:space="preserve">gives the</w:t>
      </w:r>
      <w:r>
        <w:t xml:space="preserve"> </w:t>
      </w:r>
      <w:r>
        <w:rPr>
          <w:i/>
          <w:iCs/>
        </w:rPr>
        <w:t xml:space="preserve">what</w:t>
      </w:r>
      <w:r>
        <w:t xml:space="preserve"> </w:t>
      </w:r>
      <w:r>
        <w:t xml:space="preserve">without the</w:t>
      </w:r>
      <w:r>
        <w:t xml:space="preserve"> </w:t>
      </w:r>
      <w:r>
        <w:rPr>
          <w:i/>
          <w:iCs/>
        </w:rPr>
        <w:t xml:space="preserve">why</w:t>
      </w:r>
      <w:r>
        <w:t xml:space="preserve">.</w:t>
      </w:r>
      <w:r>
        <w:t xml:space="preserve"> </w:t>
      </w:r>
      <w:r>
        <w:t xml:space="preserve">Say what the step accomplishes and why the analysis needs it,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# center age so the intercept is the mean outcome at the average age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t xml:space="preserve">Comment each step that a student could not reconstruct from its name,</w:t>
      </w:r>
      <w:r>
        <w:t xml:space="preserve"> </w:t>
      </w:r>
      <w:r>
        <w:t xml:space="preserve">such as a transformation, a modeling choice, a tuning value or a random seed.</w:t>
      </w:r>
    </w:p>
    <w:bookmarkEnd w:id="75"/>
    <w:bookmarkStart w:id="76" w:name="X94063c6448bea82c8f1e8d367c642bbe2eda89b"/>
    <w:p>
      <w:pPr>
        <w:pStyle w:val="Heading1"/>
      </w:pPr>
      <w:r>
        <w:t xml:space="preserve">23. Set</w:t>
      </w:r>
      <w:r>
        <w:t xml:space="preserve"> </w:t>
      </w:r>
      <w:r>
        <w:rPr>
          <w:rStyle w:val="VerbatimChar"/>
        </w:rPr>
        <w:t xml:space="preserve">code-fold</w:t>
      </w:r>
      <w:r>
        <w:t xml:space="preserve"> </w:t>
      </w:r>
      <w:r>
        <w:t xml:space="preserve">by what the code does and whether the prose mentions it</w:t>
      </w:r>
    </w:p>
    <w:p>
      <w:pPr>
        <w:pStyle w:val="FirstParagraph"/>
      </w:pPr>
      <w:r>
        <w:t xml:space="preserve">This rule applies to every executed code chunk in teaching materials,</w:t>
      </w:r>
      <w:r>
        <w:t xml:space="preserve"> </w:t>
      </w:r>
      <w:r>
        <w:t xml:space="preserve">in every course and every teaching repository.</w:t>
      </w:r>
    </w:p>
    <w:p>
      <w:pPr>
        <w:pStyle w:val="BodyText"/>
      </w:pPr>
      <w:r>
        <w:t xml:space="preserve">Set</w:t>
      </w:r>
      <w:r>
        <w:t xml:space="preserve"> </w:t>
      </w:r>
      <w:r>
        <w:rPr>
          <w:rStyle w:val="VerbatimChar"/>
        </w:rPr>
        <w:t xml:space="preserve">#| code-fold:</w:t>
      </w:r>
      <w:r>
        <w:t xml:space="preserve"> </w:t>
      </w:r>
      <w:r>
        <w:t xml:space="preserve">on each chunk to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  <w:r>
        <w:t xml:space="preserve"> </w:t>
      </w:r>
      <w:r>
        <w:t xml:space="preserve">Never set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: it removes the toggle and gains nothing,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also keeps the code and its output together.</w:t>
      </w:r>
      <w:r>
        <w:t xml:space="preserve"> </w:t>
      </w:r>
      <w:r>
        <w:t xml:space="preserve">The choice depends on one question:</w:t>
      </w:r>
      <w:r>
        <w:t xml:space="preserve"> </w:t>
      </w:r>
      <w:r>
        <w:t xml:space="preserve">does the prose mention the code?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#| code-fold: show</w:t>
      </w:r>
      <w:r>
        <w:t xml:space="preserve"> </w:t>
      </w:r>
      <w:r>
        <w:t xml:space="preserve">when the prose mentions the code.</w:t>
      </w:r>
      <w:r>
        <w:t xml:space="preserve"> </w:t>
      </w:r>
      <w:r>
        <w:t xml:space="preserve">The choice of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holds whether the code produces output outside the chunk or not,</w:t>
      </w:r>
      <w:r>
        <w:t xml:space="preserve"> </w:t>
      </w:r>
      <w:r>
        <w:t xml:space="preserve">and a chunk that defines</w:t>
      </w:r>
      <w:r>
        <w:t xml:space="preserve"> </w:t>
      </w:r>
      <w:hyperlink r:id="rId35">
        <w:r>
          <w:rPr>
            <w:rStyle w:val="Hyperlink"/>
          </w:rPr>
          <w:t xml:space="preserve">function</w:t>
        </w:r>
      </w:hyperlink>
      <w:r>
        <w:t xml:space="preserve">s or objects that later chunks use counts as producing output.</w:t>
      </w:r>
      <w:r>
        <w:t xml:space="preserve"> </w:t>
      </w:r>
      <w:r>
        <w:t xml:space="preserve">The code starts open, and a reader who wants to focus on the output can hide it.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#| code-fold: true</w:t>
      </w:r>
      <w:r>
        <w:t xml:space="preserve"> </w:t>
      </w:r>
      <w:r>
        <w:t xml:space="preserve">when the prose does not mention the code.</w:t>
      </w:r>
      <w:r>
        <w:t xml:space="preserve"> </w:t>
      </w:r>
      <w:r>
        <w:t xml:space="preserve">The code starts hidden, and a reader who wants it can open it.</w:t>
      </w:r>
    </w:p>
    <w:p>
      <w:pPr>
        <w:pStyle w:val="FirstParagraph"/>
      </w:pPr>
      <w:r>
        <w:t xml:space="preserve">For example:</w:t>
      </w:r>
    </w:p>
    <w:p>
      <w:pPr>
        <w:pStyle w:val="Compact"/>
        <w:numPr>
          <w:ilvl w:val="0"/>
          <w:numId w:val="1022"/>
        </w:numPr>
      </w:pPr>
      <w:r>
        <w:t xml:space="preserve">A chunk that fits a model the text walks through and prints its coefficients is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 chunk that draws a figure the text discusses is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 chunk that defines the helper functions a section introduces is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  <w:r>
        <w:t xml:space="preserve"> </w:t>
      </w:r>
    </w:p>
    <w:p>
      <w:pPr>
        <w:pStyle w:val="Compact"/>
        <w:numPr>
          <w:ilvl w:val="0"/>
          <w:numId w:val="1022"/>
        </w:numPr>
      </w:pPr>
      <w:r>
        <w:t xml:space="preserve">A chunk that loads a package the text never mentions is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bookmarkEnd w:id="76"/>
    <w:bookmarkStart w:id="78" w:name="X20e181de46bfb9534283aa5bca590892d948edf"/>
    <w:p>
      <w:pPr>
        <w:pStyle w:val="Heading1"/>
      </w:pPr>
      <w:r>
        <w:t xml:space="preserve">24. Put a full command in a code block, not in inline code</w:t>
      </w:r>
    </w:p>
    <w:p>
      <w:pPr>
        <w:pStyle w:val="FirstParagraph"/>
      </w:pPr>
      <w:r>
        <w:t xml:space="preserve">This rule applies to all teaching materials that name commands,</w:t>
      </w:r>
      <w:r>
        <w:t xml:space="preserve"> </w:t>
      </w:r>
      <w:r>
        <w:t xml:space="preserve">in every course and every teaching repository.</w:t>
      </w:r>
    </w:p>
    <w:p>
      <w:pPr>
        <w:pStyle w:val="Compact"/>
        <w:numPr>
          <w:ilvl w:val="0"/>
          <w:numId w:val="1023"/>
        </w:numPr>
      </w:pPr>
      <w:r>
        <w:t xml:space="preserve">Put a full command that a reader will run, such as an install command,</w:t>
      </w:r>
      <w:r>
        <w:t xml:space="preserve"> </w:t>
      </w:r>
      <w:r>
        <w:t xml:space="preserve">in its own fenced code block with a language, such as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python</w:t>
      </w:r>
      <w:r>
        <w:t xml:space="preserve">.</w:t>
      </w:r>
      <w:r>
        <w:t xml:space="preserve"> </w:t>
      </w:r>
      <w:r>
        <w:t xml:space="preserve">A rendered code block has a copy button, and inline code does not.</w:t>
      </w:r>
    </w:p>
    <w:p>
      <w:pPr>
        <w:pStyle w:val="Compact"/>
        <w:numPr>
          <w:ilvl w:val="0"/>
          <w:numId w:val="1023"/>
        </w:numPr>
      </w:pPr>
      <w:r>
        <w:t xml:space="preserve">Do not run the block when its output is not the point.</w:t>
      </w:r>
      <w:r>
        <w:t xml:space="preserve"> </w:t>
      </w:r>
      <w:r>
        <w:t xml:space="preserve">Open the fence with the language alone, as in</w:t>
      </w:r>
      <w:r>
        <w:t xml:space="preserve"> </w:t>
      </w:r>
      <w:r>
        <w:rPr>
          <w:rStyle w:val="VerbatimChar"/>
        </w:rPr>
        <w:t xml:space="preserve">r</w:t>
      </w:r>
      <w:r>
        <w:t xml:space="preserve">, and not in braces, as in</w:t>
      </w:r>
      <w:r>
        <w:t xml:space="preserve"> </w:t>
      </w:r>
      <w:r>
        <w:rPr>
          <w:rStyle w:val="VerbatimChar"/>
        </w:rPr>
        <w:t xml:space="preserve">{r}</w:t>
      </w:r>
      <w:r>
        <w:t xml:space="preserve">,</w:t>
      </w:r>
      <w:r>
        <w:t xml:space="preserve"> </w:t>
      </w:r>
      <w:r>
        <w:t xml:space="preserve">so Quarto shows the code and does not evaluate it.</w:t>
      </w:r>
    </w:p>
    <w:p>
      <w:pPr>
        <w:pStyle w:val="Compact"/>
        <w:numPr>
          <w:ilvl w:val="0"/>
          <w:numId w:val="1023"/>
        </w:numPr>
      </w:pPr>
      <w:r>
        <w:t xml:space="preserve">Keep inline code for a name inside a sentence,</w:t>
      </w:r>
      <w:r>
        <w:t xml:space="preserve"> </w:t>
      </w:r>
      <w:r>
        <w:t xml:space="preserve">such as the name of a package, a variable or an argument.</w:t>
      </w:r>
    </w:p>
    <w:p>
      <w:pPr>
        <w:pStyle w:val="Compact"/>
        <w:numPr>
          <w:ilvl w:val="0"/>
          <w:numId w:val="1023"/>
        </w:numPr>
      </w:pPr>
      <w:r>
        <w:t xml:space="preserve">Introduce the block with a sentence that ends in a colon.</w:t>
      </w:r>
      <w:r>
        <w:t xml:space="preserve"> </w:t>
      </w:r>
      <w:r>
        <w:t xml:space="preserve">Do not follow a semicolon or a colon in the sentence with inline code</w:t>
      </w:r>
      <w:r>
        <w:t xml:space="preserve"> </w:t>
      </w:r>
      <w:r>
        <w:t xml:space="preserve">that the reader has to select by hand.</w:t>
      </w:r>
    </w:p>
    <w:bookmarkStart w:id="77" w:name="exm-command-block"/>
    <w:p>
      <w:pPr>
        <w:pStyle w:val="FirstParagraph"/>
      </w:pPr>
      <w:r>
        <w:rPr>
          <w:b/>
          <w:bCs/>
        </w:rPr>
        <w:t xml:space="preserve">Example 6 (Moving an install command out of a sentence)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R tabs need</w:t>
      </w:r>
      <w:r>
        <w:t xml:space="preserve"> </w:t>
      </w:r>
      <w:r>
        <w:rPr>
          <w:rStyle w:val="VerbatimChar"/>
        </w:rPr>
        <w:t xml:space="preserve">readr</w:t>
      </w:r>
      <w:r>
        <w:t xml:space="preserve">,</w:t>
      </w:r>
      <w:r>
        <w:t xml:space="preserve"> </w:t>
      </w:r>
      <w:r>
        <w:rPr>
          <w:rStyle w:val="VerbatimChar"/>
        </w:rPr>
        <w:t xml:space="preserve">dplyr</w:t>
      </w:r>
      <w:r>
        <w:t xml:space="preserve">,</w:t>
      </w:r>
      <w:r>
        <w:t xml:space="preserve"> </w:t>
      </w:r>
      <w:r>
        <w:rPr>
          <w:rStyle w:val="VerbatimChar"/>
        </w:rPr>
        <w:t xml:space="preserve">ggplot2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purrr</w:t>
      </w:r>
      <w:r>
        <w:t xml:space="preserve">:</w:t>
      </w:r>
      <w:r>
        <w:t xml:space="preserve"> </w:t>
      </w:r>
      <w:r>
        <w:rPr>
          <w:rStyle w:val="VerbatimChar"/>
        </w:rPr>
        <w:t xml:space="preserve">install.packages(c("readr", "dplyr", "ggplot2", "purrr"))</w:t>
      </w:r>
      <w:r>
        <w:t xml:space="preserve">.</w:t>
      </w:r>
    </w:p>
    <w:p>
      <w:pPr>
        <w:pStyle w:val="BlockText"/>
      </w:pPr>
      <w:r>
        <w:t xml:space="preserve">✅ The R tabs need</w:t>
      </w:r>
      <w:r>
        <w:t xml:space="preserve"> </w:t>
      </w:r>
      <w:r>
        <w:rPr>
          <w:rStyle w:val="VerbatimChar"/>
        </w:rPr>
        <w:t xml:space="preserve">readr</w:t>
      </w:r>
      <w:r>
        <w:t xml:space="preserve">,</w:t>
      </w:r>
      <w:r>
        <w:t xml:space="preserve"> </w:t>
      </w:r>
      <w:r>
        <w:rPr>
          <w:rStyle w:val="VerbatimChar"/>
        </w:rPr>
        <w:t xml:space="preserve">dplyr</w:t>
      </w:r>
      <w:r>
        <w:t xml:space="preserve">,</w:t>
      </w:r>
      <w:r>
        <w:t xml:space="preserve"> </w:t>
      </w:r>
      <w:r>
        <w:rPr>
          <w:rStyle w:val="VerbatimChar"/>
        </w:rPr>
        <w:t xml:space="preserve">ggplot2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purrr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install.packages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"readr"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"dplyr"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"ggplot2"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"purrr"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The package names stay inline because they sit in the sentence.</w:t>
      </w:r>
      <w:r>
        <w:t xml:space="preserve"> </w:t>
      </w:r>
      <w:r>
        <w:t xml:space="preserve">The install command moves to a block,</w:t>
      </w:r>
      <w:r>
        <w:t xml:space="preserve"> </w:t>
      </w:r>
      <w:r>
        <w:t xml:space="preserve">so the reader copies it with one click.</w:t>
      </w:r>
    </w:p>
    <w:bookmarkEnd w:id="77"/>
    <w:bookmarkEnd w:id="78"/>
    <w:bookmarkStart w:id="79" w:name="Xffa5a3357c8672d830c88e1e58a0ef107550647"/>
    <w:p>
      <w:pPr>
        <w:pStyle w:val="Heading1"/>
      </w:pPr>
      <w:r>
        <w:t xml:space="preserve">25. Introduce every function in a programming primer</w:t>
      </w:r>
    </w:p>
    <w:p>
      <w:pPr>
        <w:pStyle w:val="FirstParagraph"/>
      </w:pPr>
      <w:r>
        <w:t xml:space="preserve">This rule applies to all teaching materials that run code,</w:t>
      </w:r>
      <w:r>
        <w:t xml:space="preserve"> </w:t>
      </w:r>
      <w:r>
        <w:t xml:space="preserve">in every course and every teaching repository.</w:t>
      </w:r>
    </w:p>
    <w:p>
      <w:pPr>
        <w:pStyle w:val="Compact"/>
        <w:numPr>
          <w:ilvl w:val="0"/>
          <w:numId w:val="1024"/>
        </w:numPr>
      </w:pPr>
      <w:r>
        <w:t xml:space="preserve">Give the course a programming primer that introduces each package function the course’s chapters call.</w:t>
      </w:r>
      <w:r>
        <w:t xml:space="preserve"> </w:t>
      </w:r>
      <w:r>
        <w:t xml:space="preserve"> </w:t>
      </w:r>
      <w:r>
        <w:t xml:space="preserve">A student encounters the function there first, in a short note, a worked example and an exercise,</w:t>
      </w:r>
      <w:r>
        <w:t xml:space="preserve"> </w:t>
      </w:r>
      <w:r>
        <w:t xml:space="preserve">and then sees it used in the chapters.</w:t>
      </w:r>
    </w:p>
    <w:p>
      <w:pPr>
        <w:pStyle w:val="Compact"/>
        <w:numPr>
          <w:ilvl w:val="0"/>
          <w:numId w:val="1024"/>
        </w:numPr>
      </w:pPr>
      <w:r>
        <w:t xml:space="preserve">Keep the primer complete by computing the list of functions, not by remembering it.</w:t>
      </w:r>
      <w:r>
        <w:t xml:space="preserve"> </w:t>
      </w:r>
      <w:r>
        <w:t xml:space="preserve">Scan the code chunks of the chapters for the functions they call,</w:t>
      </w:r>
      <w:r>
        <w:t xml:space="preserve"> </w:t>
      </w:r>
      <w:r>
        <w:t xml:space="preserve">and compare the list with the functions the primer mentions.</w:t>
      </w:r>
      <w:r>
        <w:t xml:space="preserve"> </w:t>
      </w:r>
      <w:r>
        <w:t xml:space="preserve">Run the scan when a chapter adds a function, and again before a term starts.</w:t>
      </w:r>
      <w:r>
        <w:t xml:space="preserve"> </w:t>
      </w:r>
    </w:p>
    <w:p>
      <w:pPr>
        <w:pStyle w:val="Compact"/>
        <w:numPr>
          <w:ilvl w:val="0"/>
          <w:numId w:val="1024"/>
        </w:numPr>
      </w:pPr>
      <w:r>
        <w:t xml:space="preserve">Add the missing functions in separate pull requests, one per package.</w:t>
      </w:r>
      <w:r>
        <w:t xml:space="preserve"> </w:t>
      </w:r>
      <w:r>
        <w:t xml:space="preserve">A pull request that adds a function to a chapter adds it to the primer too,</w:t>
      </w:r>
      <w:r>
        <w:t xml:space="preserve"> </w:t>
      </w:r>
      <w:r>
        <w:t xml:space="preserve">or links the primer entry that already introduces it.</w:t>
      </w:r>
    </w:p>
    <w:p>
      <w:pPr>
        <w:pStyle w:val="Compact"/>
        <w:numPr>
          <w:ilvl w:val="0"/>
          <w:numId w:val="1024"/>
        </w:numPr>
      </w:pPr>
      <w:r>
        <w:t xml:space="preserve">Functions that a chapter defines for itself are not package functions.</w:t>
      </w:r>
      <w:r>
        <w:t xml:space="preserve"> </w:t>
      </w:r>
      <w:r>
        <w:t xml:space="preserve">A chapter introduces those where it defines them.</w:t>
      </w:r>
    </w:p>
    <w:bookmarkEnd w:id="79"/>
    <w:bookmarkStart w:id="80" w:name="make-figures-accessible"/>
    <w:p>
      <w:pPr>
        <w:pStyle w:val="Heading1"/>
      </w:pPr>
      <w:r>
        <w:t xml:space="preserve">26. Make figures accessible</w:t>
      </w:r>
    </w:p>
    <w:p>
      <w:pPr>
        <w:pStyle w:val="Compact"/>
        <w:numPr>
          <w:ilvl w:val="0"/>
          <w:numId w:val="1025"/>
        </w:numPr>
      </w:pPr>
      <w:r>
        <w:t xml:space="preserve">Wrap each figure, including an interactive one, in a</w:t>
      </w:r>
      <w:r>
        <w:t xml:space="preserve"> </w:t>
      </w:r>
      <w:r>
        <w:rPr>
          <w:rStyle w:val="VerbatimChar"/>
        </w:rPr>
        <w:t xml:space="preserve">#fig-</w:t>
      </w:r>
      <w:r>
        <w:t xml:space="preserve"> </w:t>
      </w:r>
      <w:r>
        <w:t xml:space="preserve">div with a caption.</w:t>
      </w:r>
    </w:p>
    <w:p>
      <w:pPr>
        <w:pStyle w:val="Compact"/>
        <w:numPr>
          <w:ilvl w:val="0"/>
          <w:numId w:val="1025"/>
        </w:numPr>
      </w:pPr>
      <w:r>
        <w:t xml:space="preserve">Give every plot alt text.</w:t>
      </w:r>
      <w:r>
        <w:t xml:space="preserve"> </w:t>
      </w:r>
      <w:r>
        <w:t xml:space="preserve">For Observable Plot, set</w:t>
      </w:r>
      <w:r>
        <w:t xml:space="preserve"> </w:t>
      </w:r>
      <w:r>
        <w:rPr>
          <w:rStyle w:val="VerbatimChar"/>
        </w:rPr>
        <w:t xml:space="preserve">ariaLabel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Show the code that makes each figure, and let readers fold it away.</w:t>
      </w:r>
      <w:r>
        <w:t xml:space="preserve"> </w:t>
      </w:r>
      <w:r>
        <w:t xml:space="preserve">Code folding does nothing for a cell that does not echo its code,</w:t>
      </w:r>
      <w:r>
        <w:t xml:space="preserve"> </w:t>
      </w:r>
      <w:r>
        <w:t xml:space="preserve">so do not set</w:t>
      </w:r>
      <w:r>
        <w:t xml:space="preserve"> </w:t>
      </w:r>
      <w:r>
        <w:rPr>
          <w:rStyle w:val="VerbatimChar"/>
        </w:rPr>
        <w:t xml:space="preserve">echo: false</w:t>
      </w:r>
      <w:r>
        <w:t xml:space="preserve"> </w:t>
      </w:r>
      <w:r>
        <w:t xml:space="preserve">on a cell you want students to read.</w:t>
      </w:r>
    </w:p>
    <w:p>
      <w:pPr>
        <w:pStyle w:val="Compact"/>
        <w:numPr>
          <w:ilvl w:val="0"/>
          <w:numId w:val="1025"/>
        </w:numPr>
      </w:pPr>
      <w:r>
        <w:t xml:space="preserve">Do not cross-reference an interactive figure from prose,</w:t>
      </w:r>
      <w:r>
        <w:t xml:space="preserve"> </w:t>
      </w:r>
      <w:r>
        <w:t xml:space="preserve">because the PDF format renders no figure for it,</w:t>
      </w:r>
      <w:r>
        <w:t xml:space="preserve"> </w:t>
      </w:r>
      <w:r>
        <w:t xml:space="preserve">so the reference has no target there</w:t>
      </w:r>
      <w:r>
        <w:t xml:space="preserve"> </w:t>
      </w:r>
      <w:r>
        <w:t xml:space="preserve">(observed when rendering lecture notes to PDF).</w:t>
      </w:r>
    </w:p>
    <w:bookmarkEnd w:id="80"/>
    <w:bookmarkStart w:id="82" w:name="split-a-page-before-it-grows-too-long"/>
    <w:p>
      <w:pPr>
        <w:pStyle w:val="Heading1"/>
      </w:pPr>
      <w:r>
        <w:t xml:space="preserve">27. Split a page before it grows too long</w:t>
      </w:r>
    </w:p>
    <w:p>
      <w:pPr>
        <w:pStyle w:val="FirstParagraph"/>
      </w:pPr>
      <w:r>
        <w:t xml:space="preserve">A page should load and finish rendering its math in under 5 seconds,</w:t>
      </w:r>
      <w:r>
        <w:t xml:space="preserve"> </w:t>
      </w:r>
      <w:r>
        <w:t xml:space="preserve">and its scroll bar should not shrink to its smallest length</w:t>
      </w:r>
      <w:r>
        <w:t xml:space="preserve"> </w:t>
      </w:r>
      <w:r>
        <w:t xml:space="preserve">(Ezra, 2026-10-31).</w:t>
      </w:r>
      <w:r>
        <w:t xml:space="preserve"> </w:t>
      </w:r>
      <w:r>
        <w:t xml:space="preserve">The browser typesets every formula on a page,</w:t>
      </w:r>
      <w:r>
        <w:t xml:space="preserve"> </w:t>
      </w:r>
      <w:r>
        <w:t xml:space="preserve">so a page with hundreds of formulas takes seconds to finish.</w:t>
      </w:r>
      <w:r>
        <w:t xml:space="preserve"> </w:t>
      </w:r>
      <w:r>
        <w:t xml:space="preserve">A page tall enough to shrink the scroll bar to its minimum</w:t>
      </w:r>
      <w:r>
        <w:t xml:space="preserve"> </w:t>
      </w:r>
      <w:r>
        <w:t xml:space="preserve">leaves the reader no way to see where they are in it.</w:t>
      </w:r>
    </w:p>
    <w:p>
      <w:pPr>
        <w:pStyle w:val="Compact"/>
        <w:numPr>
          <w:ilvl w:val="0"/>
          <w:numId w:val="1026"/>
        </w:numPr>
      </w:pPr>
      <w:r>
        <w:t xml:space="preserve">Split a page that fails either test into several pages,</w:t>
      </w:r>
      <w:r>
        <w:t xml:space="preserve"> </w:t>
      </w:r>
      <w:r>
        <w:t xml:space="preserve">one coherent topic each.</w:t>
      </w:r>
      <w:r>
        <w:t xml:space="preserve"> </w:t>
      </w:r>
      <w:r>
        <w:t xml:space="preserve">The</w:t>
      </w:r>
      <w:r>
        <w:t xml:space="preserve"> </w:t>
      </w:r>
      <w:hyperlink r:id="rId26">
        <w:r>
          <w:rPr>
            <w:rStyle w:val="Hyperlink"/>
          </w:rPr>
          <w:t xml:space="preserve">math prerequisites</w:t>
        </w:r>
      </w:hyperlink>
      <w:r>
        <w:t xml:space="preserve"> </w:t>
      </w:r>
      <w:r>
        <w:t xml:space="preserve">page on measures,</w:t>
      </w:r>
      <w:r>
        <w:t xml:space="preserve"> </w:t>
      </w:r>
      <w:r>
        <w:t xml:space="preserve">for example, became six pages for this reason.</w:t>
      </w:r>
    </w:p>
    <w:p>
      <w:pPr>
        <w:pStyle w:val="Compact"/>
        <w:numPr>
          <w:ilvl w:val="0"/>
          <w:numId w:val="1026"/>
        </w:numPr>
      </w:pPr>
      <w:r>
        <w:t xml:space="preserve">Split along the headings that already divide the page,</w:t>
      </w:r>
      <w:r>
        <w:t xml:space="preserve"> </w:t>
      </w:r>
      <w:r>
        <w:t xml:space="preserve">and give each new page its own title and a short introduction.</w:t>
      </w:r>
    </w:p>
    <w:p>
      <w:pPr>
        <w:pStyle w:val="Compact"/>
        <w:numPr>
          <w:ilvl w:val="0"/>
          <w:numId w:val="1026"/>
        </w:numPr>
      </w:pPr>
      <w:r>
        <w:t xml:space="preserve">Keep the old section ids as stubs that link to the new pages,</w:t>
      </w:r>
      <w:r>
        <w:t xml:space="preserve"> </w:t>
      </w:r>
      <w:r>
        <w:t xml:space="preserve">so links from other pages and other sites still reach the content.</w:t>
      </w:r>
    </w:p>
    <w:p>
      <w:pPr>
        <w:pStyle w:val="Compact"/>
        <w:numPr>
          <w:ilvl w:val="0"/>
          <w:numId w:val="1026"/>
        </w:numPr>
      </w:pPr>
      <w:r>
        <w:t xml:space="preserve">Link between the new pages where one page uses a concept that another page defines.</w:t>
      </w:r>
    </w:p>
    <w:p>
      <w:pPr>
        <w:pStyle w:val="Compact"/>
        <w:numPr>
          <w:ilvl w:val="0"/>
          <w:numId w:val="1026"/>
        </w:numPr>
      </w:pPr>
      <w:r>
        <w:t xml:space="preserve">Do not delete anything to shorten a page:</w:t>
      </w:r>
      <w:r>
        <w:t xml:space="preserve"> </w:t>
      </w:r>
      <w:r>
        <w:t xml:space="preserve">move it to the page where it belongs.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check-page-length</w:t>
      </w:r>
      <w:r>
        <w:t xml:space="preserve"> </w:t>
      </w:r>
      <w:r>
        <w:t xml:space="preserve">check in</w:t>
      </w:r>
      <w:r>
        <w:t xml:space="preserve"> </w:t>
      </w:r>
      <w:hyperlink r:id="rId17">
        <w:r>
          <w:rPr>
            <w:rStyle w:val="VerbatimChar"/>
          </w:rPr>
          <w:t xml:space="preserve">gha</w:t>
        </w:r>
      </w:hyperlink>
      <w:r>
        <w:t xml:space="preserve"> </w:t>
      </w:r>
      <w:r>
        <w:t xml:space="preserve">(</w:t>
      </w:r>
      <w:hyperlink r:id="rId81">
        <w:r>
          <w:rPr>
            <w:rStyle w:val="Hyperlink"/>
          </w:rPr>
          <w:t xml:space="preserve">gha#1377</w:t>
        </w:r>
      </w:hyperlink>
      <w:r>
        <w:t xml:space="preserve">)</w:t>
      </w:r>
      <w:r>
        <w:t xml:space="preserve"> </w:t>
      </w:r>
      <w:r>
        <w:t xml:space="preserve">warns when a pull request adds to a page that, with its includes expanded,</w:t>
      </w:r>
      <w:r>
        <w:t xml:space="preserve"> </w:t>
      </w:r>
      <w:r>
        <w:t xml:space="preserve">has more than 600 math expressions or 5000 source lines.</w:t>
      </w:r>
      <w:r>
        <w:t xml:space="preserve"> </w:t>
      </w:r>
      <w:r>
        <w:t xml:space="preserve">Those limits are proxies,</w:t>
      </w:r>
      <w:r>
        <w:t xml:space="preserve"> </w:t>
      </w:r>
      <w:r>
        <w:t xml:space="preserve">since the check does not run a browser.</w:t>
      </w:r>
      <w:r>
        <w:t xml:space="preserve"> </w:t>
      </w:r>
      <w:r>
        <w:t xml:space="preserve">It warns only on pages a pull request touches,</w:t>
      </w:r>
      <w:r>
        <w:t xml:space="preserve"> </w:t>
      </w:r>
      <w:r>
        <w:t xml:space="preserve">so split a long page when you next edit it, and do not sweep the others.</w:t>
      </w:r>
    </w:p>
    <w:bookmarkEnd w:id="82"/>
    <w:bookmarkStart w:id="86" w:name="keep-sibling-headings-to-about-five"/>
    <w:p>
      <w:pPr>
        <w:pStyle w:val="Heading1"/>
      </w:pPr>
      <w:r>
        <w:t xml:space="preserve">28. Keep sibling headings to about five</w:t>
      </w:r>
    </w:p>
    <w:p>
      <w:pPr>
        <w:pStyle w:val="FirstParagraph"/>
      </w:pPr>
      <w:r>
        <w:t xml:space="preserve">Aim for at most about five sibling headings under one parent heading,</w:t>
      </w:r>
      <w:r>
        <w:t xml:space="preserve"> </w:t>
      </w:r>
      <w:r>
        <w:t xml:space="preserve">and split or group the headings when there are more than seven</w:t>
      </w:r>
      <w:r>
        <w:t xml:space="preserve"> </w:t>
      </w:r>
      <w:r>
        <w:t xml:space="preserve">(Ezra, 2026-11-02).</w:t>
      </w:r>
      <w:r>
        <w:t xml:space="preserve"> </w:t>
      </w:r>
      <w:r>
        <w:t xml:space="preserve">Sibling headings are headings of the same level under the same parent.</w:t>
      </w:r>
      <w:r>
        <w:t xml:space="preserve"> </w:t>
      </w:r>
      <w:r>
        <w:t xml:space="preserve">The top-level headings of a page or book chapter count as siblings under the page.</w:t>
      </w:r>
    </w:p>
    <w:p>
      <w:pPr>
        <w:pStyle w:val="BodyText"/>
      </w:pPr>
      <w:r>
        <w:t xml:space="preserve">A reader who scans a list of headings holds the whole list in mind while choosing among them.</w:t>
      </w:r>
      <w:r>
        <w:t xml:space="preserve"> </w:t>
      </w:r>
      <w:r>
        <w:t xml:space="preserve">Miller’s</w:t>
      </w:r>
      <w:r>
        <w:t xml:space="preserve"> </w:t>
      </w:r>
      <w:hyperlink r:id="rId83">
        <w:r>
          <w:rPr>
            <w:rStyle w:val="Hyperlink"/>
          </w:rPr>
          <w:t xml:space="preserve">“magical number seven, plus or minus two”</w:t>
        </w:r>
      </w:hyperlink>
      <w:r>
        <w:t xml:space="preserve"> </w:t>
      </w:r>
      <w:r>
        <w:t xml:space="preserve">is the classic estimate of how many items a person can hold at once.</w:t>
      </w:r>
      <w:r>
        <w:t xml:space="preserve"> </w:t>
      </w:r>
      <w:r>
        <w:t xml:space="preserve">Cowan’s</w:t>
      </w:r>
      <w:r>
        <w:t xml:space="preserve"> </w:t>
      </w:r>
      <w:hyperlink r:id="rId84">
        <w:r>
          <w:rPr>
            <w:rStyle w:val="Hyperlink"/>
          </w:rPr>
          <w:t xml:space="preserve">reconsideration</w:t>
        </w:r>
      </w:hyperlink>
      <w:r>
        <w:t xml:space="preserve"> </w:t>
      </w:r>
      <w:r>
        <w:t xml:space="preserve">puts the capacity nearer four chunks.</w:t>
      </w:r>
      <w:r>
        <w:t xml:space="preserve"> </w:t>
      </w:r>
      <w:r>
        <w:t xml:space="preserve">Those estimates concern memory, and a reader can look at a table of contents again,</w:t>
      </w:r>
      <w:r>
        <w:t xml:space="preserve"> </w:t>
      </w:r>
      <w:r>
        <w:t xml:space="preserve">so the limit is a guideline and not a hard rule.</w:t>
      </w:r>
      <w:r>
        <w:t xml:space="preserve"> </w:t>
      </w:r>
      <w:r>
        <w:t xml:space="preserve">Aim for five so that the guideline still holds when a few headings are added later.</w:t>
      </w:r>
    </w:p>
    <w:p>
      <w:pPr>
        <w:pStyle w:val="Compact"/>
        <w:numPr>
          <w:ilvl w:val="0"/>
          <w:numId w:val="1027"/>
        </w:numPr>
      </w:pPr>
      <w:r>
        <w:t xml:space="preserve">Group related sibling headings under a new parent heading that names what they share.</w:t>
      </w:r>
    </w:p>
    <w:p>
      <w:pPr>
        <w:pStyle w:val="Compact"/>
        <w:numPr>
          <w:ilvl w:val="0"/>
          <w:numId w:val="1027"/>
        </w:numPr>
      </w:pPr>
      <w:r>
        <w:t xml:space="preserve">Split a page with too many top-level headings into several pages,</w:t>
      </w:r>
      <w:r>
        <w:t xml:space="preserve"> </w:t>
      </w:r>
      <w:r>
        <w:t xml:space="preserve">as in</w:t>
      </w:r>
      <w:r>
        <w:t xml:space="preserve"> </w:t>
      </w:r>
      <w:hyperlink w:anchor="split-a-page-before-it-grows-too-long">
        <w:r>
          <w:rPr>
            <w:rStyle w:val="Hyperlink"/>
          </w:rPr>
          <w:t xml:space="preserve">Split a page before it grows too long</w:t>
        </w:r>
      </w:hyperlink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Leave a list of parallel parts, such as one heading per lab or per week, alone</w:t>
      </w:r>
      <w:r>
        <w:t xml:space="preserve"> </w:t>
      </w:r>
      <w:r>
        <w:t xml:space="preserve">when the parts have no natural grouping,</w:t>
      </w:r>
      <w:r>
        <w:t xml:space="preserve"> </w:t>
      </w:r>
      <w:r>
        <w:t xml:space="preserve">and say in the introduction how many there are.</w:t>
      </w:r>
    </w:p>
    <w:p>
      <w:pPr>
        <w:pStyle w:val="Compact"/>
        <w:numPr>
          <w:ilvl w:val="0"/>
          <w:numId w:val="1027"/>
        </w:numPr>
      </w:pPr>
      <w:r>
        <w:t xml:space="preserve">Do not delete a heading to meet the guideline:</w:t>
      </w:r>
      <w:r>
        <w:t xml:space="preserve"> </w:t>
      </w:r>
      <w:r>
        <w:t xml:space="preserve">move its content under the heading it belongs to.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check-heading-siblings</w:t>
      </w:r>
      <w:r>
        <w:t xml:space="preserve"> </w:t>
      </w:r>
      <w:r>
        <w:t xml:space="preserve">check in</w:t>
      </w:r>
      <w:r>
        <w:t xml:space="preserve"> </w:t>
      </w:r>
      <w:hyperlink r:id="rId17">
        <w:r>
          <w:rPr>
            <w:rStyle w:val="VerbatimChar"/>
          </w:rPr>
          <w:t xml:space="preserve">gha</w:t>
        </w:r>
      </w:hyperlink>
      <w:r>
        <w:t xml:space="preserve"> </w:t>
      </w:r>
      <w:r>
        <w:t xml:space="preserve">(</w:t>
      </w:r>
      <w:hyperlink r:id="rId85">
        <w:r>
          <w:rPr>
            <w:rStyle w:val="Hyperlink"/>
          </w:rPr>
          <w:t xml:space="preserve">gha#1390</w:t>
        </w:r>
      </w:hyperlink>
      <w:r>
        <w:t xml:space="preserve">)</w:t>
      </w:r>
      <w:r>
        <w:t xml:space="preserve"> </w:t>
      </w:r>
      <w:r>
        <w:t xml:space="preserve">warns when a pull request adds a heading to a group of more than seven siblings.</w:t>
      </w:r>
      <w:r>
        <w:t xml:space="preserve"> </w:t>
      </w:r>
      <w:r>
        <w:t xml:space="preserve">It warns only on pages a pull request touches,</w:t>
      </w:r>
      <w:r>
        <w:t xml:space="preserve"> </w:t>
      </w:r>
      <w:r>
        <w:t xml:space="preserve">so regroup a page when you next edit it, and do not sweep the others.</w:t>
      </w:r>
    </w:p>
    <w:bookmarkEnd w:id="86"/>
    <w:bookmarkStart w:id="87" w:name="X11916828c884fb72bf5a014c9adad86758c821c"/>
    <w:p>
      <w:pPr>
        <w:pStyle w:val="Heading1"/>
      </w:pPr>
      <w:r>
        <w:t xml:space="preserve">29. Fold a one-paragraph section into its neighbor</w:t>
      </w:r>
    </w:p>
    <w:p>
      <w:pPr>
        <w:pStyle w:val="FirstParagraph"/>
      </w:pPr>
      <w:r>
        <w:t xml:space="preserve">Give a heading to a point that can stand alone,</w:t>
      </w:r>
      <w:r>
        <w:t xml:space="preserve"> </w:t>
      </w:r>
      <w:r>
        <w:t xml:space="preserve">and fold a section of a single short paragraph into the section it qualifies or follows</w:t>
      </w:r>
      <w:r>
        <w:t xml:space="preserve"> </w:t>
      </w:r>
      <w:r>
        <w:t xml:space="preserve">(Ezra, 2026-11-02).</w:t>
      </w:r>
      <w:r>
        <w:t xml:space="preserve"> </w:t>
      </w:r>
      <w:r>
        <w:t xml:space="preserve">A heading that opens a one-paragraph section adds an entry to the list of headings</w:t>
      </w:r>
      <w:r>
        <w:t xml:space="preserve"> </w:t>
      </w:r>
      <w:r>
        <w:t xml:space="preserve">and gives the reader nothing to find there.</w:t>
      </w:r>
      <w:r>
        <w:t xml:space="preserve"> </w:t>
      </w:r>
      <w:r>
        <w:t xml:space="preserve">This is a guideline, not a minimum length:</w:t>
      </w:r>
      <w:r>
        <w:t xml:space="preserve"> </w:t>
      </w:r>
      <w:r>
        <w:t xml:space="preserve">a definition, a distinct step or a named result can be short.</w:t>
      </w:r>
    </w:p>
    <w:p>
      <w:pPr>
        <w:pStyle w:val="Compact"/>
        <w:numPr>
          <w:ilvl w:val="0"/>
          <w:numId w:val="1028"/>
        </w:numPr>
      </w:pPr>
      <w:r>
        <w:t xml:space="preserve">Merge a caveat into the section it qualifies.</w:t>
      </w:r>
      <w:r>
        <w:t xml:space="preserve"> </w:t>
      </w:r>
      <w:r>
        <w:t xml:space="preserve">If it qualifies a whole list, put it in the closing section on how to use the list.</w:t>
      </w:r>
    </w:p>
    <w:p>
      <w:pPr>
        <w:pStyle w:val="Compact"/>
        <w:numPr>
          <w:ilvl w:val="0"/>
          <w:numId w:val="1028"/>
        </w:numPr>
      </w:pPr>
      <w:r>
        <w:t xml:space="preserve">Use a callout for an aside to one nearby claim.</w:t>
      </w:r>
    </w:p>
    <w:p>
      <w:pPr>
        <w:pStyle w:val="Compact"/>
        <w:numPr>
          <w:ilvl w:val="0"/>
          <w:numId w:val="1028"/>
        </w:numPr>
      </w:pPr>
      <w:r>
        <w:t xml:space="preserve">Use a footnote for a minor qualification.</w:t>
      </w:r>
    </w:p>
    <w:p>
      <w:pPr>
        <w:pStyle w:val="Compact"/>
        <w:numPr>
          <w:ilvl w:val="0"/>
          <w:numId w:val="1028"/>
        </w:numPr>
      </w:pPr>
      <w:r>
        <w:t xml:space="preserve">If a point is one of several parallel points, make it an item in the parent’s list.</w:t>
      </w:r>
    </w:p>
    <w:p>
      <w:pPr>
        <w:pStyle w:val="Compact"/>
        <w:numPr>
          <w:ilvl w:val="0"/>
          <w:numId w:val="1028"/>
        </w:numPr>
      </w:pPr>
      <w:r>
        <w:t xml:space="preserve">Do not delete the content: move it to the section it belongs to.</w:t>
      </w:r>
    </w:p>
    <w:bookmarkEnd w:id="87"/>
    <w:bookmarkStart w:id="89" w:name="structure-slides-for-the-reader"/>
    <w:p>
      <w:pPr>
        <w:pStyle w:val="Heading1"/>
      </w:pPr>
      <w:r>
        <w:t xml:space="preserve">30. Structure slides for the reader</w:t>
      </w:r>
    </w:p>
    <w:p>
      <w:pPr>
        <w:pStyle w:val="Compact"/>
        <w:numPr>
          <w:ilvl w:val="0"/>
          <w:numId w:val="1029"/>
        </w:numPr>
      </w:pPr>
      <w:r>
        <w:t xml:space="preserve">Check the rendered slides, not only the web page.</w:t>
      </w:r>
      <w:r>
        <w:t xml:space="preserve"> </w:t>
      </w:r>
      <w:r>
        <w:t xml:space="preserve">Slides need the same boxes and colors on theorem-type and callout divs</w:t>
      </w:r>
      <w:r>
        <w:t xml:space="preserve"> </w:t>
      </w:r>
      <w:r>
        <w:t xml:space="preserve">that the web page has,</w:t>
      </w:r>
      <w:r>
        <w:t xml:space="preserve"> </w:t>
      </w:r>
      <w:r>
        <w:t xml:space="preserve">so a reader can see where a definition ends and the commentary begins.</w:t>
      </w:r>
    </w:p>
    <w:p>
      <w:pPr>
        <w:pStyle w:val="Compact"/>
        <w:numPr>
          <w:ilvl w:val="0"/>
          <w:numId w:val="1029"/>
        </w:numPr>
      </w:pPr>
      <w:r>
        <w:t xml:space="preserve">Put a list of three or more phrases in a bullet list,</w:t>
      </w:r>
      <w:r>
        <w:t xml:space="preserve"> </w:t>
      </w:r>
      <w:r>
        <w:t xml:space="preserve">as</w:t>
      </w:r>
      <w:r>
        <w:t xml:space="preserve"> </w:t>
      </w:r>
      <w:hyperlink r:id="rId88">
        <w:r>
          <w:rPr>
            <w:rStyle w:val="Hyperlink"/>
          </w:rPr>
          <w:t xml:space="preserve">Put lists in bullet points</w:t>
        </w:r>
      </w:hyperlink>
      <w:r>
        <w:t xml:space="preserve"> </w:t>
      </w:r>
      <w:r>
        <w:t xml:space="preserve">describes.</w:t>
      </w:r>
    </w:p>
    <w:p>
      <w:pPr>
        <w:pStyle w:val="Compact"/>
        <w:numPr>
          <w:ilvl w:val="0"/>
          <w:numId w:val="1029"/>
        </w:numPr>
      </w:pPr>
      <w:r>
        <w:t xml:space="preserve">Show every proof on the slides.</w:t>
      </w:r>
      <w:r>
        <w:t xml:space="preserve"> </w:t>
      </w:r>
      <w:r>
        <w:t xml:space="preserve">Do not wrap a proof in</w:t>
      </w:r>
      <w:r>
        <w:t xml:space="preserve"> </w:t>
      </w:r>
      <w:r>
        <w:rPr>
          <w:rStyle w:val="VerbatimChar"/>
        </w:rPr>
        <w:t xml:space="preserve">{.content-hidden when-format="revealjs"}</w:t>
      </w:r>
      <w:r>
        <w:t xml:space="preserve">.</w:t>
      </w:r>
      <w:r>
        <w:t xml:space="preserve"> </w:t>
      </w:r>
      <w:r>
        <w:t xml:space="preserve">Remove an existing wrapper from a proof when you edit the file for another reason,</w:t>
      </w:r>
      <w:r>
        <w:t xml:space="preserve"> </w:t>
      </w:r>
      <w:r>
        <w:t xml:space="preserve">and do not sweep the others</w:t>
      </w:r>
      <w:r>
        <w:t xml:space="preserve"> </w:t>
      </w:r>
      <w:r>
        <w:t xml:space="preserve">(Ezra, 2026-10-29).</w:t>
      </w:r>
    </w:p>
    <w:p>
      <w:pPr>
        <w:pStyle w:val="Compact"/>
        <w:numPr>
          <w:ilvl w:val="0"/>
          <w:numId w:val="1029"/>
        </w:numPr>
      </w:pPr>
      <w:r>
        <w:t xml:space="preserve">Put each named example in an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 </w:t>
      </w:r>
      <w:r>
        <w:t xml:space="preserve">div.</w:t>
      </w:r>
    </w:p>
    <w:p>
      <w:pPr>
        <w:pStyle w:val="Compact"/>
        <w:numPr>
          <w:ilvl w:val="0"/>
          <w:numId w:val="1029"/>
        </w:numPr>
      </w:pPr>
      <w:r>
        <w:t xml:space="preserve">Put on a slide only what you want the audience to look at.</w:t>
      </w:r>
      <w:r>
        <w:t xml:space="preserve"> </w:t>
      </w:r>
      <w:r>
        <w:t xml:space="preserve">Put an example in an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 </w:t>
      </w:r>
      <w:r>
        <w:t xml:space="preserve">div and short commentary in a</w:t>
      </w:r>
      <w:r>
        <w:t xml:space="preserve"> </w:t>
      </w:r>
      <w:r>
        <w:rPr>
          <w:rStyle w:val="VerbatimChar"/>
        </w:rPr>
        <w:t xml:space="preserve">#rem-</w:t>
      </w:r>
      <w:r>
        <w:t xml:space="preserve"> </w:t>
      </w:r>
      <w:r>
        <w:t xml:space="preserve">div,</w:t>
      </w:r>
      <w:r>
        <w:t xml:space="preserve"> </w:t>
      </w:r>
      <w:r>
        <w:t xml:space="preserve">because a</w:t>
      </w:r>
      <w:r>
        <w:t xml:space="preserve"> </w:t>
      </w:r>
      <w:r>
        <w:rPr>
          <w:rStyle w:val="VerbatimChar"/>
        </w:rPr>
        <w:t xml:space="preserve">::: notes</w:t>
      </w:r>
      <w:r>
        <w:t xml:space="preserve"> </w:t>
      </w:r>
      <w:r>
        <w:t xml:space="preserve">div is plain text without a box on the web page.</w:t>
      </w:r>
    </w:p>
    <w:p>
      <w:pPr>
        <w:pStyle w:val="Compact"/>
        <w:numPr>
          <w:ilvl w:val="0"/>
          <w:numId w:val="1029"/>
        </w:numPr>
      </w:pPr>
      <w:r>
        <w:t xml:space="preserve">Put a long paragraph of commentary in a remark that is also speaker notes:</w:t>
      </w:r>
      <w:r>
        <w:t xml:space="preserve"> </w:t>
      </w:r>
      <w:r>
        <w:rPr>
          <w:rStyle w:val="VerbatimChar"/>
        </w:rPr>
        <w:t xml:space="preserve">::: {#rem-name .remark .notes}</w:t>
      </w:r>
      <w:r>
        <w:t xml:space="preserve">.</w:t>
      </w:r>
      <w:r>
        <w:t xml:space="preserve"> </w:t>
      </w:r>
      <w:r>
        <w:t xml:space="preserve">Reveal.js shows it only in speaker view, so the audience does not have to read it,</w:t>
      </w:r>
      <w:r>
        <w:t xml:space="preserve"> </w:t>
      </w:r>
      <w:r>
        <w:t xml:space="preserve">and the web page shows it as a boxed remark.</w:t>
      </w:r>
      <w:r>
        <w:t xml:space="preserve"> </w:t>
      </w:r>
      <w:r>
        <w:t xml:space="preserve">Readers who did not attend the lecture use the web page,</w:t>
      </w:r>
      <w:r>
        <w:t xml:space="preserve"> </w:t>
      </w:r>
      <w:r>
        <w:t xml:space="preserve">so nothing is lost, and nothing is said twice.</w:t>
      </w:r>
      <w:r>
        <w:t xml:space="preserve"> </w:t>
      </w:r>
      <w:r>
        <w:t xml:space="preserve">Give a long paragraph a separate short</w:t>
      </w:r>
      <w:r>
        <w:t xml:space="preserve"> </w:t>
      </w:r>
      <w:r>
        <w:rPr>
          <w:rStyle w:val="VerbatimChar"/>
        </w:rPr>
        <w:t xml:space="preserve">#rem-</w:t>
      </w:r>
      <w:r>
        <w:t xml:space="preserve"> </w:t>
      </w:r>
      <w:r>
        <w:t xml:space="preserve">div only when the slide needs a takeaway to look at.</w:t>
      </w:r>
    </w:p>
    <w:p>
      <w:pPr>
        <w:pStyle w:val="Compact"/>
        <w:numPr>
          <w:ilvl w:val="0"/>
          <w:numId w:val="1029"/>
        </w:numPr>
      </w:pPr>
      <w:r>
        <w:t xml:space="preserve">Add structure only where content has a shape.</w:t>
      </w:r>
      <w:r>
        <w:t xml:space="preserve"> </w:t>
      </w:r>
      <w:r>
        <w:t xml:space="preserve">Do not put a heading over a single item,</w:t>
      </w:r>
      <w:r>
        <w:t xml:space="preserve"> </w:t>
      </w:r>
      <w:r>
        <w:t xml:space="preserve">or over the same topic as the heading just before it.</w:t>
      </w:r>
    </w:p>
    <w:p>
      <w:pPr>
        <w:pStyle w:val="Compact"/>
        <w:numPr>
          <w:ilvl w:val="0"/>
          <w:numId w:val="1029"/>
        </w:numPr>
      </w:pPr>
      <w:r>
        <w:t xml:space="preserve">Keep body text off section and title slides.</w:t>
      </w:r>
      <w:r>
        <w:t xml:space="preserve"> </w:t>
      </w:r>
      <w:r>
        <w:t xml:space="preserve">Reveal.js centers those slides vertically and does not scroll them,</w:t>
      </w:r>
      <w:r>
        <w:t xml:space="preserve"> </w:t>
      </w:r>
      <w:r>
        <w:t xml:space="preserve">so long text is clipped at the top and bottom of the screen</w:t>
      </w:r>
      <w:r>
        <w:t xml:space="preserve"> </w:t>
      </w:r>
      <w:r>
        <w:t xml:space="preserve">(observed in lecture slides rendered with Quarto).</w:t>
      </w:r>
      <w:r>
        <w:t xml:space="preserve"> </w:t>
      </w:r>
      <w:r>
        <w:t xml:space="preserve">Put a slide break after the heading and move the text onto content slides.</w:t>
      </w:r>
    </w:p>
    <w:bookmarkEnd w:id="89"/>
    <w:bookmarkStart w:id="91" w:name="X5f21f12cbfc4e3df5e838110af4e52db506fec1"/>
    <w:p>
      <w:pPr>
        <w:pStyle w:val="Heading1"/>
      </w:pPr>
      <w:r>
        <w:t xml:space="preserve">31. Give each concept in a note sheet its own row</w:t>
      </w:r>
    </w:p>
    <w:p>
      <w:pPr>
        <w:pStyle w:val="FirstParagraph"/>
      </w:pPr>
      <w:r>
        <w:t xml:space="preserve">A note sheet is a reference table of formulas with brief labels and no prose.</w:t>
      </w:r>
      <w:r>
        <w:t xml:space="preserve"> </w:t>
      </w:r>
      <w:r>
        <w:t xml:space="preserve">This is one case of</w:t>
      </w:r>
      <w:r>
        <w:t xml:space="preserve"> </w:t>
      </w:r>
      <w:hyperlink w:anchor="Xb68f5757ebba706c680e7c5ed557ac14973d7af">
        <w:r>
          <w:rPr>
            <w:rStyle w:val="Hyperlink"/>
          </w:rPr>
          <w:t xml:space="preserve">building every unit from smaller atomic units</w:t>
        </w:r>
      </w:hyperlink>
      <w:r>
        <w:t xml:space="preserve">.</w:t>
      </w:r>
      <w:r>
        <w:t xml:space="preserve"> </w:t>
      </w:r>
      <w:r>
        <w:t xml:space="preserve">Give each concept its own row.</w:t>
      </w:r>
      <w:r>
        <w:t xml:space="preserve"> </w:t>
      </w:r>
      <w:r>
        <w:t xml:space="preserve">A row holds one formula and one short label.</w:t>
      </w:r>
    </w:p>
    <w:p>
      <w:pPr>
        <w:pStyle w:val="Compact"/>
        <w:numPr>
          <w:ilvl w:val="0"/>
          <w:numId w:val="1030"/>
        </w:numPr>
      </w:pPr>
      <w:r>
        <w:t xml:space="preserve">Never put two definitions in one row.</w:t>
      </w:r>
    </w:p>
    <w:p>
      <w:pPr>
        <w:pStyle w:val="Compact"/>
        <w:numPr>
          <w:ilvl w:val="0"/>
          <w:numId w:val="1030"/>
        </w:numPr>
      </w:pPr>
      <w:r>
        <w:t xml:space="preserve">Never merge rows to save space.</w:t>
      </w:r>
      <w:r>
        <w:t xml:space="preserve"> </w:t>
      </w:r>
      <w:r>
        <w:t xml:space="preserve">Find the room another way, such as a smaller table font or a second table beside the first.</w:t>
      </w:r>
    </w:p>
    <w:p>
      <w:pPr>
        <w:pStyle w:val="Compact"/>
        <w:numPr>
          <w:ilvl w:val="0"/>
          <w:numId w:val="1030"/>
        </w:numPr>
      </w:pPr>
      <w:r>
        <w:t xml:space="preserve">Never put notation or assumptions inside a label.</w:t>
      </w:r>
      <w:r>
        <w:t xml:space="preserve"> </w:t>
      </w:r>
      <w:r>
        <w:t xml:space="preserve">Give each assumption its own row, and state the notation once in its own row.</w:t>
      </w:r>
    </w:p>
    <w:p>
      <w:pPr>
        <w:pStyle w:val="Compact"/>
        <w:numPr>
          <w:ilvl w:val="0"/>
          <w:numId w:val="1030"/>
        </w:numPr>
      </w:pPr>
      <w:r>
        <w:t xml:space="preserve">Write each formula in its most compact form,</w:t>
      </w:r>
      <w:r>
        <w:t xml:space="preserve"> </w:t>
      </w:r>
      <w:r>
        <w:t xml:space="preserve">built from pieces that have their own rows</w:t>
      </w:r>
      <w:r>
        <w:t xml:space="preserve"> </w:t>
      </w:r>
      <w:r>
        <w:t xml:space="preserve">(see</w:t>
      </w:r>
      <w:r>
        <w:t xml:space="preserve"> </w:t>
      </w:r>
      <w:hyperlink r:id="rId25">
        <w:r>
          <w:rPr>
            <w:rStyle w:val="Hyperlink"/>
          </w:rPr>
          <w:t xml:space="preserve">Making expressions concise</w:t>
        </w:r>
      </w:hyperlink>
      <w:r>
        <w:t xml:space="preserve">).</w:t>
      </w:r>
    </w:p>
    <w:p>
      <w:pPr>
        <w:pStyle w:val="FirstParagraph"/>
      </w:pPr>
      <w:r>
        <w:t xml:space="preserve">The same rule applies to every other reference table, such as a table of notation.</w:t>
      </w:r>
    </w:p>
    <w:bookmarkStart w:id="90" w:name="exm-note-sheet-rows"/>
    <w:p>
      <w:pPr>
        <w:pStyle w:val="BodyText"/>
      </w:pPr>
      <w:r>
        <w:rPr>
          <w:b/>
          <w:bCs/>
        </w:rPr>
        <w:t xml:space="preserve">Example 7 (Splitting a merged row)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Row:</w:t>
      </w:r>
      <w:r>
        <w:t xml:space="preserve"> </w:t>
      </w:r>
      <w:r>
        <w:rPr>
          <w:rStyle w:val="VerbatimChar"/>
        </w:rPr>
        <w:t xml:space="preserve">Dot product, sample mean</w:t>
      </w:r>
      <w:r>
        <w:t xml:space="preserve">, with both formulas in one cell.</w:t>
      </w:r>
    </w:p>
    <w:p>
      <w:pPr>
        <w:pStyle w:val="BlockText"/>
      </w:pPr>
      <w:r>
        <w:t xml:space="preserve">✅ Rows:</w:t>
      </w:r>
      <w:r>
        <w:t xml:space="preserve"> </w:t>
      </w:r>
      <w:r>
        <w:rPr>
          <w:rStyle w:val="VerbatimChar"/>
        </w:rPr>
        <w:t xml:space="preserve">Dot product</w:t>
      </w:r>
      <w:r>
        <w:t xml:space="preserve"> </w:t>
      </w:r>
      <w:r>
        <w:t xml:space="preserve">with its formula, then</w:t>
      </w:r>
      <w:r>
        <w:t xml:space="preserve"> </w:t>
      </w:r>
      <w:r>
        <w:rPr>
          <w:rStyle w:val="VerbatimChar"/>
        </w:rPr>
        <w:t xml:space="preserve">Sample mean</w:t>
      </w:r>
      <w:r>
        <w:t xml:space="preserve"> </w:t>
      </w:r>
      <w:r>
        <w:t xml:space="preserve">with its formula.</w:t>
      </w:r>
    </w:p>
    <w:p>
      <w:pPr>
        <w:pStyle w:val="FirstParagraph"/>
      </w:pPr>
      <w:r>
        <w:t xml:space="preserve">The ❌ row makes the reader find where one concept ends and the next begins.</w:t>
      </w:r>
      <w:r>
        <w:t xml:space="preserve"> </w:t>
      </w:r>
      <w:r>
        <w:t xml:space="preserve">The ✅ rows let the reader find one formula by one label.</w:t>
      </w:r>
    </w:p>
    <w:bookmarkEnd w:id="90"/>
    <w:bookmarkEnd w:id="91"/>
    <w:bookmarkStart w:id="94" w:name="talk-about-the-ideas-not-the-notes"/>
    <w:p>
      <w:pPr>
        <w:pStyle w:val="Heading1"/>
      </w:pPr>
      <w:r>
        <w:t xml:space="preserve">32. Talk about the ideas, not the notes</w:t>
      </w:r>
    </w:p>
    <w:p>
      <w:pPr>
        <w:pStyle w:val="FirstParagraph"/>
      </w:pPr>
      <w:r>
        <w:t xml:space="preserve">When a</w:t>
      </w:r>
      <w:r>
        <w:t xml:space="preserve"> </w:t>
      </w:r>
      <w:hyperlink r:id="rId12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is defined on another page or in another site,</w:t>
      </w:r>
      <w:r>
        <w:t xml:space="preserve"> </w:t>
      </w:r>
      <w:r>
        <w:t xml:space="preserve">state the idea in the sentence and link the term.</w:t>
      </w:r>
      <w:r>
        <w:t xml:space="preserve"> </w:t>
      </w:r>
      <w:r>
        <w:t xml:space="preserve">Do not write about where the definition lives.</w:t>
      </w:r>
    </w:p>
    <w:p>
      <w:pPr>
        <w:pStyle w:val="Compact"/>
        <w:numPr>
          <w:ilvl w:val="0"/>
          <w:numId w:val="1031"/>
        </w:numPr>
      </w:pPr>
      <w:r>
        <w:t xml:space="preserve">Write</w:t>
      </w:r>
      <w:r>
        <w:t xml:space="preserve"> </w:t>
      </w:r>
      <w:r>
        <w:t xml:space="preserve">“the bias of an estimator”</w:t>
      </w:r>
      <w:r>
        <w:t xml:space="preserve">,</w:t>
      </w:r>
      <w:r>
        <w:t xml:space="preserve"> </w:t>
      </w:r>
      <w:r>
        <w:t xml:space="preserve">linked to its definition,</w:t>
      </w:r>
      <w:r>
        <w:t xml:space="preserve"> </w:t>
      </w:r>
      <w:r>
        <w:t xml:space="preserve">not</w:t>
      </w:r>
      <w:r>
        <w:t xml:space="preserve"> </w:t>
      </w:r>
      <w:r>
        <w:t xml:space="preserve">“the statistics notes define the bias of an estimator”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t xml:space="preserve">Do not write</w:t>
      </w:r>
      <w:r>
        <w:t xml:space="preserve"> </w:t>
      </w:r>
      <w:r>
        <w:t xml:space="preserve">“see the probability notes”</w:t>
      </w:r>
      <w:r>
        <w:t xml:space="preserve"> </w:t>
      </w:r>
      <w:r>
        <w:t xml:space="preserve">or</w:t>
      </w:r>
      <w:r>
        <w:t xml:space="preserve"> </w:t>
      </w:r>
      <w:r>
        <w:t xml:space="preserve">“as in our notes”</w:t>
      </w:r>
      <w:r>
        <w:t xml:space="preserve">.</w:t>
      </w:r>
      <w:r>
        <w:t xml:space="preserve"> </w:t>
      </w:r>
      <w:r>
        <w:t xml:space="preserve">The link already says where the term lives.</w:t>
      </w:r>
    </w:p>
    <w:p>
      <w:pPr>
        <w:pStyle w:val="Compact"/>
        <w:numPr>
          <w:ilvl w:val="0"/>
          <w:numId w:val="1031"/>
        </w:numPr>
      </w:pPr>
      <w:r>
        <w:t xml:space="preserve">Name a remark by the idea it holds,</w:t>
      </w:r>
      <w:r>
        <w:t xml:space="preserve"> </w:t>
      </w:r>
      <w:r>
        <w:t xml:space="preserve">such as</w:t>
      </w:r>
      <w:r>
        <w:t xml:space="preserve"> </w:t>
      </w:r>
      <w:r>
        <w:t xml:space="preserve">“Bias of a prediction”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“Bias of a prediction in the statistics notes”</w:t>
      </w:r>
      <w:r>
        <w:t xml:space="preserve">.</w:t>
      </w:r>
    </w:p>
    <w:p>
      <w:pPr>
        <w:pStyle w:val="FirstParagraph"/>
      </w:pPr>
      <w:r>
        <w:t xml:space="preserve">Students read concepts, not the structure of the site.</w:t>
      </w:r>
      <w:r>
        <w:t xml:space="preserve"> </w:t>
      </w:r>
      <w:r>
        <w:t xml:space="preserve">A sentence about which notes define a term adds no content,</w:t>
      </w:r>
      <w:r>
        <w:t xml:space="preserve"> </w:t>
      </w:r>
      <w:r>
        <w:t xml:space="preserve">and it goes stale when the definition moves.</w:t>
      </w:r>
    </w:p>
    <w:p>
      <w:pPr>
        <w:pStyle w:val="BodyText"/>
      </w:pPr>
      <w:r>
        <w:t xml:space="preserve">The same holds inside a page.</w:t>
      </w:r>
      <w:r>
        <w:t xml:space="preserve"> </w:t>
      </w:r>
      <w:r>
        <w:t xml:space="preserve">Focus on the content of the notes, not on their structure</w:t>
      </w:r>
      <w:r>
        <w:t xml:space="preserve"> </w:t>
      </w:r>
      <w:r>
        <w:t xml:space="preserve">(Ezra, 2026-11-02).</w:t>
      </w:r>
      <w:r>
        <w:t xml:space="preserve"> </w:t>
      </w:r>
      <w:r>
        <w:t xml:space="preserve">When a part refers back to an earlier exercise, example, or result,</w:t>
      </w:r>
      <w:r>
        <w:t xml:space="preserve"> </w:t>
      </w:r>
      <w:r>
        <w:t xml:space="preserve">name the specific objects it reuses</w:t>
      </w:r>
      <w:r>
        <w:t xml:space="preserve"> </w:t>
      </w:r>
      <w:r>
        <w:t xml:space="preserve">instead of pointing at the exercise as a whole.</w:t>
      </w:r>
      <w:r>
        <w:t xml:space="preserve"> </w:t>
      </w:r>
      <w:r>
        <w:t xml:space="preserve">“Use the setup of Exercise 1”</w:t>
      </w:r>
      <w:r>
        <w:t xml:space="preserve"> </w:t>
      </w:r>
      <w:r>
        <w:t xml:space="preserve">makes the reader reread the exercise</w:t>
      </w:r>
      <w:r>
        <w:t xml:space="preserve"> </w:t>
      </w:r>
      <w:r>
        <w:t xml:space="preserve">to learn which data, variables, or model the part needs.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Name what the back-reference reuses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32"/>
              </w:numPr>
            </w:pPr>
            <w:r>
              <w:t xml:space="preserve">❌</w:t>
            </w:r>
            <w:r>
              <w:t xml:space="preserve"> </w:t>
            </w:r>
            <w:r>
              <w:t xml:space="preserve">“Use the setup of Exercise 1.”</w:t>
            </w:r>
          </w:p>
          <w:p>
            <w:pPr>
              <w:pStyle w:val="Compact"/>
              <w:numPr>
                <w:ilvl w:val="0"/>
                <w:numId w:val="1032"/>
              </w:numPr>
            </w:pPr>
            <w:r>
              <w:t xml:space="preserve">✅</w:t>
            </w:r>
            <w:r>
              <w:t xml:space="preserve"> </w:t>
            </w:r>
            <w:r>
              <w:t xml:space="preserve">“Use the WCGS data, with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(coronary heart disease) and predictor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(behavior pattern) from Exercise 1.”</w:t>
            </w:r>
          </w:p>
          <w:p/>
        </w:tc>
      </w:tr>
    </w:tbl>
    <w:p>
      <w:pPr>
        <w:pStyle w:val="FirstParagraph"/>
      </w:pPr>
      <w:r>
        <w:t xml:space="preserve">Keep the cross-reference</w:t>
      </w:r>
      <w:r>
        <w:t xml:space="preserve"> </w:t>
      </w:r>
      <w:r>
        <w:t xml:space="preserve">so that the reader can look up the full statement,</w:t>
      </w:r>
      <w:r>
        <w:t xml:space="preserve"> </w:t>
      </w:r>
      <w:r>
        <w:t xml:space="preserve">and add the names of the reused data, variables, parameters, or model.</w:t>
      </w:r>
      <w:r>
        <w:t xml:space="preserve"> </w:t>
      </w:r>
      <w:r>
        <w:t xml:space="preserve">When the notes define a dataset in its own callout,</w:t>
      </w:r>
      <w:r>
        <w:t xml:space="preserve"> </w:t>
      </w:r>
      <w:r>
        <w:t xml:space="preserve">link the dataset by that callout’s id</w:t>
      </w:r>
      <w:r>
        <w:t xml:space="preserve"> </w:t>
      </w:r>
      <w:r>
        <w:t xml:space="preserve">instead of describing it again,</w:t>
      </w:r>
      <w:r>
        <w:t xml:space="preserve"> </w:t>
      </w:r>
      <w:r>
        <w:t xml:space="preserve">and put the link on the dataset’s name.</w:t>
      </w:r>
      <w:r>
        <w:t xml:space="preserve"> </w:t>
      </w:r>
      <w:r>
        <w:t xml:space="preserve">Quarto renders</w:t>
      </w:r>
      <w:r>
        <w:t xml:space="preserve"> </w:t>
      </w:r>
      <w:r>
        <w:rPr>
          <w:rStyle w:val="VerbatimChar"/>
        </w:rPr>
        <w:t xml:space="preserve">@dat-wcgs</w:t>
      </w:r>
      <w:r>
        <w:t xml:space="preserve"> </w:t>
      </w:r>
      <w:r>
        <w:t xml:space="preserve">as</w:t>
      </w:r>
      <w:r>
        <w:t xml:space="preserve"> </w:t>
      </w:r>
      <w:r>
        <w:t xml:space="preserve">“Dataset 1”</w:t>
      </w:r>
      <w:r>
        <w:t xml:space="preserve"> </w:t>
      </w:r>
      <w:r>
        <w:t xml:space="preserve">in the link text,</w:t>
      </w:r>
      <w:r>
        <w:t xml:space="preserve"> </w:t>
      </w:r>
      <w:r>
        <w:t xml:space="preserve">so write the dataset name as the link text, as in</w:t>
      </w:r>
      <w:r>
        <w:t xml:space="preserve"> </w:t>
      </w:r>
      <w:r>
        <w:rPr>
          <w:rStyle w:val="VerbatimChar"/>
        </w:rPr>
        <w:t xml:space="preserve">[WCGS data](#dat-wcgs)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“the WCGS data (</w:t>
      </w:r>
      <w:r>
        <w:rPr>
          <w:rStyle w:val="VerbatimChar"/>
        </w:rPr>
        <w:t xml:space="preserve">@dat-wcgs</w:t>
      </w:r>
      <w:r>
        <w:t xml:space="preserve">)”</w:t>
      </w:r>
      <w:r>
        <w:t xml:space="preserve"> </w:t>
      </w:r>
      <w:r>
        <w:t xml:space="preserve">(Ezra, 2026-11-04; see</w:t>
      </w:r>
      <w:r>
        <w:t xml:space="preserve"> </w:t>
      </w:r>
      <w:r>
        <w:t xml:space="preserve">“Link the words, not a trailing citation”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chapters/citations-evidence.qmd</w:t>
      </w:r>
      <w:r>
        <w:t xml:space="preserve">).</w:t>
      </w:r>
      <w:r>
        <w:t xml:space="preserve"> </w:t>
      </w:r>
      <w:r>
        <w:t xml:space="preserve">Prefer a self-contained sentence</w:t>
      </w:r>
      <w:r>
        <w:t xml:space="preserve"> </w:t>
      </w:r>
      <w:r>
        <w:t xml:space="preserve">when the part needs only one or two of those objects.</w:t>
      </w:r>
    </w:p>
    <w:bookmarkEnd w:id="94"/>
    <w:bookmarkStart w:id="96" w:name="write-grading-rubrics-as-checklists"/>
    <w:p>
      <w:pPr>
        <w:pStyle w:val="Heading1"/>
      </w:pPr>
      <w:r>
        <w:t xml:space="preserve">33. Write grading rubrics as checklists</w:t>
      </w:r>
    </w:p>
    <w:p>
      <w:pPr>
        <w:pStyle w:val="FirstParagraph"/>
      </w:pPr>
      <w:r>
        <w:t xml:space="preserve">Structure the rubric for most STEM questions as a checklist</w:t>
      </w:r>
      <w:r>
        <w:t xml:space="preserve"> </w:t>
      </w:r>
      <w:r>
        <w:t xml:space="preserve">(Ezra, 2026-10-26).</w:t>
      </w:r>
      <w:r>
        <w:t xml:space="preserve"> </w:t>
      </w:r>
      <w:r>
        <w:t xml:space="preserve">A grader then marks each item as earned or not,</w:t>
      </w:r>
      <w:r>
        <w:t xml:space="preserve"> </w:t>
      </w:r>
      <w:r>
        <w:t xml:space="preserve">and the points are the sum of the earned items.</w:t>
      </w:r>
      <w:r>
        <w:t xml:space="preserve"> </w:t>
      </w:r>
      <w:r>
        <w:t xml:space="preserve">A rubric written as a paragraph makes the grader reconstruct the items,</w:t>
      </w:r>
      <w:r>
        <w:t xml:space="preserve"> </w:t>
      </w:r>
      <w:r>
        <w:t xml:space="preserve">and two graders reconstruct different items.</w:t>
      </w:r>
    </w:p>
    <w:p>
      <w:pPr>
        <w:pStyle w:val="Compact"/>
        <w:numPr>
          <w:ilvl w:val="0"/>
          <w:numId w:val="1033"/>
        </w:numPr>
      </w:pPr>
      <w:r>
        <w:t xml:space="preserve">Write one checklist item per observable criterion,</w:t>
      </w:r>
      <w:r>
        <w:t xml:space="preserve"> </w:t>
      </w:r>
      <w:r>
        <w:t xml:space="preserve">and put its points first.</w:t>
      </w:r>
    </w:p>
    <w:p>
      <w:pPr>
        <w:pStyle w:val="Compact"/>
        <w:numPr>
          <w:ilvl w:val="0"/>
          <w:numId w:val="1033"/>
        </w:numPr>
      </w:pPr>
      <w:r>
        <w:t xml:space="preserve">Make the points of the items sum to the question’s points,</w:t>
      </w:r>
      <w:r>
        <w:t xml:space="preserve"> </w:t>
      </w:r>
      <w:r>
        <w:t xml:space="preserve">and state that total in the line that introduces the checklist.</w:t>
      </w:r>
    </w:p>
    <w:p>
      <w:pPr>
        <w:pStyle w:val="Compact"/>
        <w:numPr>
          <w:ilvl w:val="0"/>
          <w:numId w:val="1033"/>
        </w:numPr>
      </w:pPr>
      <w:r>
        <w:t xml:space="preserve">Write each item so that it is either met or not met.</w:t>
      </w:r>
      <w:r>
        <w:t xml:space="preserve"> </w:t>
      </w:r>
      <w:r>
        <w:t xml:space="preserve">Name the answer or the evidence that meets the criterion, as in</w:t>
      </w:r>
      <w:r>
        <w:t xml:space="preserve"> </w:t>
      </w:r>
      <w:r>
        <w:t xml:space="preserve">“cites the gap between training and CV MSE”</w:t>
      </w:r>
      <w:r>
        <w:t xml:space="preserve">.</w:t>
      </w:r>
    </w:p>
    <w:p>
      <w:pPr>
        <w:pStyle w:val="Compact"/>
        <w:numPr>
          <w:ilvl w:val="0"/>
          <w:numId w:val="1033"/>
        </w:numPr>
      </w:pPr>
      <w:r>
        <w:t xml:space="preserve">List an acceptable alternative answer as a sub-bullet without points</w:t>
      </w:r>
      <w:r>
        <w:t xml:space="preserve"> </w:t>
      </w:r>
      <w:r>
        <w:t xml:space="preserve">under the item it also satisfies,</w:t>
      </w:r>
      <w:r>
        <w:t xml:space="preserve"> </w:t>
      </w:r>
      <w:r>
        <w:t xml:space="preserve">so the items still sum to the question’s points.</w:t>
      </w:r>
      <w:r>
        <w:t xml:space="preserve"> </w:t>
      </w:r>
      <w:r>
        <w:t xml:space="preserve">Do not put the alternative in a separate paragraph.</w:t>
      </w:r>
    </w:p>
    <w:p>
      <w:pPr>
        <w:pStyle w:val="Compact"/>
        <w:numPr>
          <w:ilvl w:val="0"/>
          <w:numId w:val="1033"/>
        </w:numPr>
      </w:pPr>
      <w:r>
        <w:t xml:space="preserve">Keep the rubric in the solution, after the answer,</w:t>
      </w:r>
      <w:r>
        <w:t xml:space="preserve"> </w:t>
      </w:r>
      <w:r>
        <w:t xml:space="preserve">so a course that withholds solutions from students withholds the rubric too.</w:t>
      </w:r>
    </w:p>
    <w:p>
      <w:pPr>
        <w:pStyle w:val="Compact"/>
        <w:numPr>
          <w:ilvl w:val="0"/>
          <w:numId w:val="1033"/>
        </w:numPr>
      </w:pPr>
      <w:r>
        <w:t xml:space="preserve">Use another structure when a question has no separable criteria,</w:t>
      </w:r>
      <w:r>
        <w:t xml:space="preserve"> </w:t>
      </w:r>
      <w:r>
        <w:t xml:space="preserve">such as a single holistic judgment of a proof’s rigor.</w:t>
      </w:r>
    </w:p>
    <w:bookmarkStart w:id="95" w:name="exm-rubric-checklist"/>
    <w:p>
      <w:pPr>
        <w:pStyle w:val="FirstParagraph"/>
      </w:pPr>
      <w:r>
        <w:rPr>
          <w:b/>
          <w:bCs/>
        </w:rPr>
        <w:t xml:space="preserve">Example 8 (A rubric as a checklist)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Grading (6 points): two for</w:t>
      </w:r>
      <w:r>
        <w:t xml:space="preserve"> </w:t>
      </w:r>
      <m:oMath>
        <m:limLow>
          <m:e>
            <m:r>
              <m:t>r</m:t>
            </m:r>
          </m:e>
          <m:lim>
            <m:r>
              <m:rPr>
                <m:sty m:val="p"/>
              </m:rPr>
              <m:t>∼</m:t>
            </m:r>
          </m:lim>
        </m:limLow>
      </m:oMath>
      <w:r>
        <w:t xml:space="preserve">, one for</w:t>
      </w:r>
      <w:r>
        <w:t xml:space="preserve"> </w:t>
      </w:r>
      <m:oMath>
        <m:limLow>
          <m:e>
            <m:r>
              <m:t>x</m:t>
            </m:r>
          </m:e>
          <m:lim>
            <m:r>
              <m:rPr>
                <m:sty m:val="p"/>
              </m:rPr>
              <m:t>∼</m:t>
            </m:r>
          </m:lim>
        </m:limLow>
        <m:r>
          <m:rPr>
            <m:sty m:val="p"/>
          </m:rPr>
          <m:t>⋅</m:t>
        </m:r>
        <m:limLow>
          <m:e>
            <m:r>
              <m:t>r</m:t>
            </m:r>
          </m:e>
          <m:lim>
            <m:r>
              <m:rPr>
                <m:sty m:val="p"/>
              </m:rPr>
              <m:t>∼</m:t>
            </m:r>
          </m:lim>
        </m:limLow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three for</w:t>
      </w:r>
      <w:r>
        <w:t xml:space="preserve"> </w:t>
      </w:r>
      <w:r>
        <w:t xml:space="preserve">“orthogonal”</w:t>
      </w:r>
      <w:r>
        <w:t xml:space="preserve"> </w:t>
      </w:r>
      <w:r>
        <w:t xml:space="preserve">with its link to the normal equation.</w:t>
      </w:r>
    </w:p>
    <w:p>
      <w:pPr>
        <w:pStyle w:val="BlockText"/>
      </w:pPr>
      <w:r>
        <w:t xml:space="preserve">✅</w:t>
      </w:r>
    </w:p>
    <w:p>
      <w:pPr>
        <w:pStyle w:val="SourceCode"/>
      </w:pPr>
      <w:r>
        <w:rPr>
          <w:rStyle w:val="NormalTok"/>
        </w:rPr>
        <w:t xml:space="preserve">Grading (6 points):</w:t>
      </w:r>
      <w:r>
        <w:br/>
      </w:r>
      <w:r>
        <w:br/>
      </w:r>
      <w:r>
        <w:rPr>
          <w:rStyle w:val="SpecialStringTok"/>
        </w:rPr>
        <w:t xml:space="preserve">- </w:t>
      </w:r>
      <w:r>
        <w:rPr>
          <w:rStyle w:val="VariableTok"/>
        </w:rPr>
        <w:t xml:space="preserve">[ ]</w:t>
      </w:r>
      <w:r>
        <w:rPr>
          <w:rStyle w:val="NormalTok"/>
        </w:rPr>
        <w:t xml:space="preserve"> 2 points: gives $\vresid = \tp{</w:t>
      </w:r>
      <w:r>
        <w:rPr>
          <w:rStyle w:val="CommentTok"/>
        </w:rPr>
        <w:t xml:space="preserve">[</w:t>
      </w:r>
      <w:r>
        <w:rPr>
          <w:rStyle w:val="OtherTok"/>
        </w:rPr>
        <w:t xml:space="preserve">-1, -1, 1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}$.</w:t>
      </w:r>
      <w:r>
        <w:br/>
      </w:r>
      <w:r>
        <w:rPr>
          <w:rStyle w:val="SpecialStringTok"/>
        </w:rPr>
        <w:t xml:space="preserve">- </w:t>
      </w:r>
      <w:r>
        <w:rPr>
          <w:rStyle w:val="VariableTok"/>
        </w:rPr>
        <w:t xml:space="preserve">[ ]</w:t>
      </w:r>
      <w:r>
        <w:rPr>
          <w:rStyle w:val="NormalTok"/>
        </w:rPr>
        <w:t xml:space="preserve"> 1 point: computes $\dprod{\vx}{\vresid} = 0$.</w:t>
      </w:r>
      <w:r>
        <w:br/>
      </w:r>
      <w:r>
        <w:rPr>
          <w:rStyle w:val="SpecialStringTok"/>
        </w:rPr>
        <w:t xml:space="preserve">- </w:t>
      </w:r>
      <w:r>
        <w:rPr>
          <w:rStyle w:val="VariableTok"/>
        </w:rPr>
        <w:t xml:space="preserve">[ ]</w:t>
      </w:r>
      <w:r>
        <w:rPr>
          <w:rStyle w:val="NormalTok"/>
        </w:rPr>
        <w:t xml:space="preserve"> 3 points: says $\vresid$ is orthogonal to $\vx$</w:t>
      </w:r>
      <w:r>
        <w:br/>
      </w:r>
      <w:r>
        <w:rPr>
          <w:rStyle w:val="NormalTok"/>
        </w:rPr>
        <w:t xml:space="preserve">  and links this orthogonality to the normal equation.</w:t>
      </w:r>
    </w:p>
    <w:p>
      <w:pPr>
        <w:pStyle w:val="FirstParagraph"/>
      </w:pPr>
      <w:r>
        <w:t xml:space="preserve">The checklist shows the grader each item to mark</w:t>
      </w:r>
      <w:r>
        <w:t xml:space="preserve"> </w:t>
      </w:r>
      <w:r>
        <w:t xml:space="preserve">and lets a script check that the points sum to the total.</w:t>
      </w:r>
    </w:p>
    <w:bookmarkEnd w:id="95"/>
    <w:bookmarkEnd w:id="96"/>
    <w:bookmarkStart w:id="100" w:name="Xcb579568ef754486ebde8b41ba4528bdf380eec"/>
    <w:p>
      <w:pPr>
        <w:pStyle w:val="Heading1"/>
      </w:pPr>
      <w:r>
        <w:t xml:space="preserve">34. Credit other courses without summarizing them</w:t>
      </w:r>
    </w:p>
    <w:p>
      <w:pPr>
        <w:pStyle w:val="Compact"/>
        <w:numPr>
          <w:ilvl w:val="0"/>
          <w:numId w:val="1034"/>
        </w:numPr>
      </w:pPr>
      <w:r>
        <w:t xml:space="preserve">Write your own version of another course’s material,</w:t>
      </w:r>
      <w:r>
        <w:t xml:space="preserve"> </w:t>
      </w:r>
      <w:r>
        <w:t xml:space="preserve">and credit the source in a collapsed</w:t>
      </w:r>
      <w:r>
        <w:t xml:space="preserve"> </w:t>
      </w:r>
      <w:r>
        <w:rPr>
          <w:rStyle w:val="VerbatimChar"/>
        </w:rPr>
        <w:t xml:space="preserve">.callout-note</w:t>
      </w:r>
      <w:r>
        <w:t xml:space="preserve"> </w:t>
      </w:r>
      <w:r>
        <w:t xml:space="preserve">titled</w:t>
      </w:r>
      <w:r>
        <w:t xml:space="preserve"> </w:t>
      </w:r>
      <w:r>
        <w:t xml:space="preserve">“Source”</w:t>
      </w:r>
      <w:r>
        <w:t xml:space="preserve">,</w:t>
      </w:r>
      <w:r>
        <w:t xml:space="preserve"> </w:t>
      </w:r>
      <w:r>
        <w:t xml:space="preserve">not in running prose.</w:t>
      </w:r>
      <w:r>
        <w:t xml:space="preserve"> </w:t>
      </w:r>
      <w:hyperlink r:id="rId97">
        <w:r>
          <w:rPr>
            <w:rStyle w:val="Hyperlink"/>
          </w:rPr>
          <w:t xml:space="preserve">Adapting another course’s material</w:t>
        </w:r>
      </w:hyperlink>
      <w:r>
        <w:t xml:space="preserve"> </w:t>
      </w:r>
      <w:r>
        <w:t xml:space="preserve">gives the details,</w:t>
      </w:r>
      <w:r>
        <w:t xml:space="preserve"> </w:t>
      </w:r>
      <w:r>
        <w:t xml:space="preserve">including when a</w:t>
      </w:r>
      <w:r>
        <w:t xml:space="preserve"> </w:t>
      </w:r>
      <w:r>
        <w:rPr>
          <w:rStyle w:val="VerbatimChar"/>
        </w:rPr>
        <w:t xml:space="preserve">::: notes</w:t>
      </w:r>
      <w:r>
        <w:t xml:space="preserve"> </w:t>
      </w:r>
      <w:r>
        <w:t xml:space="preserve">div is a safe alternative.</w:t>
      </w:r>
    </w:p>
    <w:p>
      <w:pPr>
        <w:pStyle w:val="Compact"/>
        <w:numPr>
          <w:ilvl w:val="0"/>
          <w:numId w:val="1034"/>
        </w:numPr>
      </w:pPr>
      <w:r>
        <w:t xml:space="preserve">Quote the primary source directly,</w:t>
      </w:r>
      <w:r>
        <w:t xml:space="preserve"> </w:t>
      </w:r>
      <w:r>
        <w:t xml:space="preserve">and check the wording and page against the original.</w:t>
      </w:r>
      <w:r>
        <w:t xml:space="preserve"> </w:t>
      </w:r>
      <w:hyperlink r:id="rId98">
        <w:r>
          <w:rPr>
            <w:rStyle w:val="Hyperlink"/>
          </w:rPr>
          <w:t xml:space="preserve">Quote the original</w:t>
        </w:r>
      </w:hyperlink>
      <w:r>
        <w:t xml:space="preserve"> </w:t>
      </w:r>
      <w:r>
        <w:t xml:space="preserve">explains why.</w:t>
      </w:r>
    </w:p>
    <w:p>
      <w:pPr>
        <w:pStyle w:val="Compact"/>
        <w:numPr>
          <w:ilvl w:val="0"/>
          <w:numId w:val="1034"/>
        </w:numPr>
      </w:pPr>
      <w:r>
        <w:t xml:space="preserve">Title a section by its topic, not by its author or course.</w:t>
      </w:r>
      <w:r>
        <w:t xml:space="preserve"> </w:t>
      </w:r>
      <w:hyperlink r:id="rId99">
        <w:r>
          <w:rPr>
            <w:rStyle w:val="Hyperlink"/>
          </w:rPr>
          <w:t xml:space="preserve">Put the content first</w:t>
        </w:r>
      </w:hyperlink>
      <w:r>
        <w:t xml:space="preserve"> </w:t>
      </w:r>
      <w:r>
        <w:t xml:space="preserve">explains why.</w:t>
      </w:r>
    </w:p>
    <w:p>
      <w:pPr>
        <w:pStyle w:val="Compact"/>
        <w:numPr>
          <w:ilvl w:val="0"/>
          <w:numId w:val="1034"/>
        </w:numPr>
      </w:pPr>
      <w:r>
        <w:t xml:space="preserve">Where the book is the subject rather than its authors, name the book by its title,</w:t>
      </w:r>
      <w:r>
        <w:t xml:space="preserve"> </w:t>
      </w:r>
      <w:r>
        <w:t xml:space="preserve">because a bare citation key renders as the author list.</w:t>
      </w:r>
    </w:p>
    <w:bookmarkEnd w:id="100"/>
    <w:bookmarkStart w:id="103" w:name="finish-each-unit-completely"/>
    <w:p>
      <w:pPr>
        <w:pStyle w:val="Heading1"/>
      </w:pPr>
      <w:r>
        <w:t xml:space="preserve">35. Finish each unit completely</w:t>
      </w:r>
    </w:p>
    <w:p>
      <w:pPr>
        <w:pStyle w:val="FirstParagraph"/>
      </w:pPr>
      <w:r>
        <w:t xml:space="preserve">Complete each sentence, step,</w:t>
      </w:r>
      <w:r>
        <w:t xml:space="preserve"> </w:t>
      </w:r>
      <w:hyperlink r:id="rId12">
        <w:r>
          <w:rPr>
            <w:rStyle w:val="Hyperlink"/>
          </w:rPr>
          <w:t xml:space="preserve">term</w:t>
        </w:r>
      </w:hyperlink>
      <w:r>
        <w:t xml:space="preserve">, result and exercise,</w:t>
      </w:r>
      <w:r>
        <w:t xml:space="preserve"> </w:t>
      </w:r>
      <w:r>
        <w:t xml:space="preserve">and do not leave part of it implied, merged into a neighbor, or half done.</w:t>
      </w:r>
      <w:r>
        <w:t xml:space="preserve"> </w:t>
      </w:r>
      <w:r>
        <w:t xml:space="preserve">A reader should never have to finish a unit for you.</w:t>
      </w:r>
      <w:r>
        <w:t xml:space="preserve"> </w:t>
      </w:r>
      <w:r>
        <w:t xml:space="preserve">Several rules in this guide are cases of this one: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Sentence.</w:t>
      </w:r>
      <w:r>
        <w:t xml:space="preserve"> </w:t>
      </w:r>
      <w:r>
        <w:t xml:space="preserve">Write each sentence</w:t>
      </w:r>
      <w:r>
        <w:t xml:space="preserve"> </w:t>
      </w:r>
      <w:hyperlink r:id="rId101">
        <w:r>
          <w:rPr>
            <w:rStyle w:val="Hyperlink"/>
          </w:rPr>
          <w:t xml:space="preserve">in words or in math, not both</w:t>
        </w:r>
      </w:hyperlink>
      <w:r>
        <w:t xml:space="preserve">,</w:t>
      </w:r>
      <w:r>
        <w:t xml:space="preserve"> </w:t>
      </w:r>
      <w:r>
        <w:t xml:space="preserve">so a hybrid becomes one complete sentence of each kind.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Step.</w:t>
      </w:r>
      <w:r>
        <w:t xml:space="preserve"> </w:t>
      </w:r>
      <w:r>
        <w:t xml:space="preserve">Give each operation</w:t>
      </w:r>
      <w:r>
        <w:t xml:space="preserve"> </w:t>
      </w:r>
      <w:hyperlink r:id="rId102">
        <w:r>
          <w:rPr>
            <w:rStyle w:val="Hyperlink"/>
          </w:rPr>
          <w:t xml:space="preserve">its own line and justification</w:t>
        </w:r>
      </w:hyperlink>
      <w:r>
        <w:t xml:space="preserve">,</w:t>
      </w:r>
      <w:r>
        <w:t xml:space="preserve"> </w:t>
      </w:r>
      <w:r>
        <w:t xml:space="preserve">and do not</w:t>
      </w:r>
      <w:r>
        <w:t xml:space="preserve"> </w:t>
      </w:r>
      <w:r>
        <w:t xml:space="preserve">“cancel”</w:t>
      </w:r>
      <w:r>
        <w:t xml:space="preserve"> </w:t>
      </w:r>
      <w:r>
        <w:t xml:space="preserve">several operations as one step.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Term.</w:t>
      </w:r>
      <w:r>
        <w:t xml:space="preserve"> </w:t>
      </w:r>
      <w:r>
        <w:t xml:space="preserve"> </w:t>
      </w:r>
      <w:hyperlink w:anchor="give-each-defined-term-its-own-div">
        <w:r>
          <w:rPr>
            <w:rStyle w:val="Hyperlink"/>
          </w:rPr>
          <w:t xml:space="preserve">Give each defined term its own div</w:t>
        </w:r>
      </w:hyperlink>
      <w:r>
        <w:t xml:space="preserve">,</w:t>
      </w:r>
      <w:r>
        <w:t xml:space="preserve"> </w:t>
      </w:r>
      <w:r>
        <w:t xml:space="preserve">and keep equalities and equivalences out of the definition by stating them as results.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Result.</w:t>
      </w:r>
      <w:r>
        <w:t xml:space="preserve"> </w:t>
      </w:r>
      <w:hyperlink w:anchor="X54d80540a68b433948113395869433e0fc9698c">
        <w:r>
          <w:rPr>
            <w:rStyle w:val="Hyperlink"/>
          </w:rPr>
          <w:t xml:space="preserve">Restate a result</w:t>
        </w:r>
      </w:hyperlink>
      <w:r>
        <w:t xml:space="preserve"> </w:t>
      </w:r>
      <w:r>
        <w:t xml:space="preserve">first derived in a solution as a theorem after the exercise,</w:t>
      </w:r>
      <w:r>
        <w:t xml:space="preserve"> </w:t>
      </w:r>
      <w:r>
        <w:t xml:space="preserve">so the result stands alone.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Exercise.</w:t>
      </w:r>
      <w:r>
        <w:t xml:space="preserve"> </w:t>
      </w:r>
      <w:hyperlink w:anchor="X54d80540a68b433948113395869433e0fc9698c">
        <w:r>
          <w:rPr>
            <w:rStyle w:val="Hyperlink"/>
          </w:rPr>
          <w:t xml:space="preserve">Split an exercise with several parts</w:t>
        </w:r>
      </w:hyperlink>
      <w:r>
        <w:t xml:space="preserve">,</w:t>
      </w:r>
      <w:r>
        <w:t xml:space="preserve"> </w:t>
      </w:r>
      <w:r>
        <w:t xml:space="preserve">so each exercise asks for one thing.</w:t>
      </w:r>
    </w:p>
    <w:p>
      <w:pPr>
        <w:pStyle w:val="FirstParagraph"/>
      </w:pPr>
      <w:r>
        <w:t xml:space="preserve">When you catch yourself taking a shortcut, finish the unit instead.</w:t>
      </w:r>
      <w:r>
        <w:t xml:space="preserve"> </w:t>
      </w:r>
      <w:r>
        <w:t xml:space="preserve">A shortcut saves the writer a few lines and costs every reader the work of rebuilding them.</w:t>
      </w:r>
    </w:p>
    <w:bookmarkEnd w:id="103"/>
    <w:bookmarkStart w:id="114" w:name="rules-that-apply-to-all-writing"/>
    <w:p>
      <w:pPr>
        <w:pStyle w:val="Heading1"/>
      </w:pPr>
      <w:r>
        <w:t xml:space="preserve">36. Rules that apply to all writing</w:t>
      </w:r>
    </w:p>
    <w:p>
      <w:pPr>
        <w:pStyle w:val="FirstParagraph"/>
      </w:pPr>
      <w:r>
        <w:t xml:space="preserve">These rules from the other chapters apply to teaching materials as to any other writing:</w:t>
      </w:r>
    </w:p>
    <w:p>
      <w:pPr>
        <w:pStyle w:val="Compact"/>
        <w:numPr>
          <w:ilvl w:val="0"/>
          <w:numId w:val="1036"/>
        </w:numPr>
      </w:pPr>
      <w:hyperlink r:id="rId104">
        <w:r>
          <w:rPr>
            <w:rStyle w:val="Hyperlink"/>
          </w:rPr>
          <w:t xml:space="preserve">start a sentence with its subject</w:t>
        </w:r>
      </w:hyperlink>
      <w:r>
        <w:t xml:space="preserve">;</w:t>
      </w:r>
    </w:p>
    <w:p>
      <w:pPr>
        <w:pStyle w:val="Compact"/>
        <w:numPr>
          <w:ilvl w:val="0"/>
          <w:numId w:val="1036"/>
        </w:numPr>
      </w:pPr>
      <w:hyperlink r:id="rId105">
        <w:r>
          <w:rPr>
            <w:rStyle w:val="Hyperlink"/>
          </w:rPr>
          <w:t xml:space="preserve">name the referent</w:t>
        </w:r>
      </w:hyperlink>
      <w:r>
        <w:t xml:space="preserve"> </w:t>
      </w:r>
      <w:r>
        <w:t xml:space="preserve">instead of a bare demonstrative;</w:t>
      </w:r>
    </w:p>
    <w:p>
      <w:pPr>
        <w:pStyle w:val="Compact"/>
        <w:numPr>
          <w:ilvl w:val="0"/>
          <w:numId w:val="1036"/>
        </w:numPr>
      </w:pPr>
      <w:hyperlink r:id="rId106">
        <w:r>
          <w:rPr>
            <w:rStyle w:val="Hyperlink"/>
          </w:rPr>
          <w:t xml:space="preserve">say which thing</w:t>
        </w:r>
      </w:hyperlink>
      <w:r>
        <w:t xml:space="preserve">;</w:t>
      </w:r>
    </w:p>
    <w:p>
      <w:pPr>
        <w:pStyle w:val="Compact"/>
        <w:numPr>
          <w:ilvl w:val="0"/>
          <w:numId w:val="1036"/>
        </w:numPr>
      </w:pPr>
      <w:hyperlink r:id="rId107">
        <w:r>
          <w:rPr>
            <w:rStyle w:val="Hyperlink"/>
          </w:rPr>
          <w:t xml:space="preserve">state the literal claim</w:t>
        </w:r>
      </w:hyperlink>
      <w:r>
        <w:t xml:space="preserve"> </w:t>
      </w:r>
      <w:r>
        <w:t xml:space="preserve">instead of an idiom;</w:t>
      </w:r>
    </w:p>
    <w:p>
      <w:pPr>
        <w:pStyle w:val="Compact"/>
        <w:numPr>
          <w:ilvl w:val="0"/>
          <w:numId w:val="1036"/>
        </w:numPr>
      </w:pPr>
      <w:hyperlink r:id="rId108">
        <w:r>
          <w:rPr>
            <w:rStyle w:val="Hyperlink"/>
          </w:rPr>
          <w:t xml:space="preserve">avoid clichés</w:t>
        </w:r>
      </w:hyperlink>
      <w:r>
        <w:t xml:space="preserve">.</w:t>
      </w:r>
    </w:p>
    <w:bookmarkStart w:id="113" w:name="refs"/>
    <w:bookmarkStart w:id="110" w:name="ref-freeman2014active"/>
    <w:p>
      <w:pPr>
        <w:pStyle w:val="Bibliography"/>
      </w:pPr>
      <w:r>
        <w:t xml:space="preserve">Freeman, Scott, Sarah L. Eddy, Miles McDonough, et al. 2014.</w:t>
      </w:r>
      <w:r>
        <w:t xml:space="preserve"> </w:t>
      </w:r>
      <w:r>
        <w:t xml:space="preserve">“Active Learning Increases Student Performance in Science, Engineering, and Mathematics.”</w:t>
      </w:r>
      <w:r>
        <w:t xml:space="preserve"> </w:t>
      </w:r>
      <w:r>
        <w:rPr>
          <w:i/>
          <w:iCs/>
        </w:rPr>
        <w:t xml:space="preserve">Proceedings of the National Academy of Sciences</w:t>
      </w:r>
      <w:r>
        <w:t xml:space="preserve"> </w:t>
      </w:r>
      <w:r>
        <w:t xml:space="preserve">111 (23): 8410–15.</w:t>
      </w:r>
      <w:r>
        <w:t xml:space="preserve"> </w:t>
      </w:r>
      <w:hyperlink r:id="rId109">
        <w:r>
          <w:rPr>
            <w:rStyle w:val="Hyperlink"/>
          </w:rPr>
          <w:t xml:space="preserve">https://doi.org/10.1073/pnas.1319030111</w:t>
        </w:r>
      </w:hyperlink>
      <w:r>
        <w:t xml:space="preserve">.</w:t>
      </w:r>
    </w:p>
    <w:bookmarkEnd w:id="110"/>
    <w:bookmarkStart w:id="112" w:name="ref-james2021islr2"/>
    <w:p>
      <w:pPr>
        <w:pStyle w:val="Bibliography"/>
      </w:pPr>
      <w:r>
        <w:t xml:space="preserve">James, Gareth, Daniela Witten, Trevor Hastie, and Robert Tibshirani. 2021.</w:t>
      </w:r>
      <w:r>
        <w:t xml:space="preserve"> </w:t>
      </w:r>
      <w:r>
        <w:rPr>
          <w:i/>
          <w:iCs/>
        </w:rPr>
        <w:t xml:space="preserve">An Introduction to Statistical Learning: With Applications in r</w:t>
      </w:r>
      <w:r>
        <w:t xml:space="preserve">. 2nd ed. Springer.</w:t>
      </w:r>
      <w:r>
        <w:t xml:space="preserve"> </w:t>
      </w:r>
      <w:hyperlink r:id="rId111">
        <w:r>
          <w:rPr>
            <w:rStyle w:val="Hyperlink"/>
          </w:rPr>
          <w:t xml:space="preserve">https://doi.org/10.1007/978-1-0716-1418-1</w:t>
        </w:r>
      </w:hyperlink>
      <w:r>
        <w:t xml:space="preserve">.</w:t>
      </w:r>
    </w:p>
    <w:bookmarkEnd w:id="112"/>
    <w:bookmarkEnd w:id="113"/>
    <w:bookmarkEnd w:id="1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08" Target="avoid-cliches.qmd" TargetMode="External" /><Relationship Type="http://schemas.openxmlformats.org/officeDocument/2006/relationships/hyperlink" Id="rId97" Target="citations-evidence.qmd#adapting-another-courses-material" TargetMode="External" /><Relationship Type="http://schemas.openxmlformats.org/officeDocument/2006/relationships/hyperlink" Id="rId21" Target="citations-evidence.qmd#link-the-words" TargetMode="External" /><Relationship Type="http://schemas.openxmlformats.org/officeDocument/2006/relationships/hyperlink" Id="rId99" Target="citations-evidence.qmd#put-the-content-first" TargetMode="External" /><Relationship Type="http://schemas.openxmlformats.org/officeDocument/2006/relationships/hyperlink" Id="rId98" Target="citations-evidence.qmd#quote-the-original" TargetMode="External" /><Relationship Type="http://schemas.openxmlformats.org/officeDocument/2006/relationships/hyperlink" Id="rId104" Target="conciseness.qmd#lead-with-the-subject" TargetMode="External" /><Relationship Type="http://schemas.openxmlformats.org/officeDocument/2006/relationships/hyperlink" Id="rId88" Target="conciseness.qmd#put-lists-in-bullet-points" TargetMode="External" /><Relationship Type="http://schemas.openxmlformats.org/officeDocument/2006/relationships/hyperlink" Id="rId12" Target="defining-terms.qmd#def-term" TargetMode="External" /><Relationship Type="http://schemas.openxmlformats.org/officeDocument/2006/relationships/hyperlink" Id="rId38" Target="defining-terms.qmd#def-variance-expression-and-prose" TargetMode="External" /><Relationship Type="http://schemas.openxmlformats.org/officeDocument/2006/relationships/hyperlink" Id="rId34" Target="defining-terms.qmd#guidelines-for-defining-terms" TargetMode="External" /><Relationship Type="http://schemas.openxmlformats.org/officeDocument/2006/relationships/hyperlink" Id="rId105" Target="grammar.qmd#demonstrative-pronouns" TargetMode="External" /><Relationship Type="http://schemas.openxmlformats.org/officeDocument/2006/relationships/hyperlink" Id="rId66" Target="https://cran.r-project.org/package=broom" TargetMode="External" /><Relationship Type="http://schemas.openxmlformats.org/officeDocument/2006/relationships/hyperlink" Id="rId61" Target="https://cran.r-project.org/package=gtsummary" TargetMode="External" /><Relationship Type="http://schemas.openxmlformats.org/officeDocument/2006/relationships/hyperlink" Id="rId111" Target="https://doi.org/10.1007/978-1-0716-1418-1" TargetMode="External" /><Relationship Type="http://schemas.openxmlformats.org/officeDocument/2006/relationships/hyperlink" Id="rId109" Target="https://doi.org/10.1073/pnas.1319030111" TargetMode="External" /><Relationship Type="http://schemas.openxmlformats.org/officeDocument/2006/relationships/hyperlink" Id="rId69" Target="https://dplyr.tidyverse.org/" TargetMode="External" /><Relationship Type="http://schemas.openxmlformats.org/officeDocument/2006/relationships/hyperlink" Id="rId60" Target="https://easystats.github.io/parameters/" TargetMode="External" /><Relationship Type="http://schemas.openxmlformats.org/officeDocument/2006/relationships/hyperlink" Id="rId65" Target="https://easystats.github.io/performance/" TargetMode="External" /><Relationship Type="http://schemas.openxmlformats.org/officeDocument/2006/relationships/hyperlink" Id="rId24" Target="https://en.wikipedia.org/wiki/Modular_programming" TargetMode="External" /><Relationship Type="http://schemas.openxmlformats.org/officeDocument/2006/relationships/hyperlink" Id="rId83" Target="https://en.wikipedia.org/wiki/The_Magical_Number_Seven,_Plus_or_Minus_Two" TargetMode="External" /><Relationship Type="http://schemas.openxmlformats.org/officeDocument/2006/relationships/hyperlink" Id="rId62" Target="https://ggplot2.tidyverse.org/" TargetMode="External" /><Relationship Type="http://schemas.openxmlformats.org/officeDocument/2006/relationships/hyperlink" Id="rId55" Target="https://github.com/Morrison-Lab/ISLR-tidymodels-labs" TargetMode="External" /><Relationship Type="http://schemas.openxmlformats.org/officeDocument/2006/relationships/hyperlink" Id="rId46" Target="https://github.com/Morrison-Lab/ai-config/pull/4386" TargetMode="External" /><Relationship Type="http://schemas.openxmlformats.org/officeDocument/2006/relationships/hyperlink" Id="rId17" Target="https://github.com/Morrison-Lab/gha" TargetMode="External" /><Relationship Type="http://schemas.openxmlformats.org/officeDocument/2006/relationships/hyperlink" Id="rId47" Target="https://github.com/Morrison-Lab/gha/issues/1193" TargetMode="External" /><Relationship Type="http://schemas.openxmlformats.org/officeDocument/2006/relationships/hyperlink" Id="rId19" Target="https://github.com/Morrison-Lab/gha/issues/1290" TargetMode="External" /><Relationship Type="http://schemas.openxmlformats.org/officeDocument/2006/relationships/hyperlink" Id="rId18" Target="https://github.com/Morrison-Lab/gha/issues/1309" TargetMode="External" /><Relationship Type="http://schemas.openxmlformats.org/officeDocument/2006/relationships/hyperlink" Id="rId48" Target="https://github.com/Morrison-Lab/gha/pull/1262" TargetMode="External" /><Relationship Type="http://schemas.openxmlformats.org/officeDocument/2006/relationships/hyperlink" Id="rId81" Target="https://github.com/Morrison-Lab/gha/pull/1377" TargetMode="External" /><Relationship Type="http://schemas.openxmlformats.org/officeDocument/2006/relationships/hyperlink" Id="rId50" Target="https://github.com/Morrison-Lab/gha/pull/1378" TargetMode="External" /><Relationship Type="http://schemas.openxmlformats.org/officeDocument/2006/relationships/hyperlink" Id="rId85" Target="https://github.com/Morrison-Lab/gha/pull/1390" TargetMode="External" /><Relationship Type="http://schemas.openxmlformats.org/officeDocument/2006/relationships/hyperlink" Id="rId20" Target="https://github.com/Morrison-Lab/gha/tree/main/check-exercise-question-paragraph" TargetMode="External" /><Relationship Type="http://schemas.openxmlformats.org/officeDocument/2006/relationships/hyperlink" Id="rId67" Target="https://github.com/d-morrison/rme" TargetMode="External" /><Relationship Type="http://schemas.openxmlformats.org/officeDocument/2006/relationships/hyperlink" Id="rId56" Target="https://github.com/intro-stat-learning/ISLP_labs" TargetMode="External" /><Relationship Type="http://schemas.openxmlformats.org/officeDocument/2006/relationships/hyperlink" Id="rId73" Target="https://github.com/quarto-ext/include-code-files" TargetMode="External" /><Relationship Type="http://schemas.openxmlformats.org/officeDocument/2006/relationships/hyperlink" Id="rId26" Target="https://morrison-lab.github.io/mds/" TargetMode="External" /><Relationship Type="http://schemas.openxmlformats.org/officeDocument/2006/relationships/hyperlink" Id="rId35" Target="https://morrison-lab.github.io/mds/functions.html#def-function" TargetMode="External" /><Relationship Type="http://schemas.openxmlformats.org/officeDocument/2006/relationships/hyperlink" Id="rId27" Target="https://morrison-lab.github.io/pds/" TargetMode="External" /><Relationship Type="http://schemas.openxmlformats.org/officeDocument/2006/relationships/hyperlink" Id="rId28" Target="https://morrison-lab.github.io/sds/" TargetMode="External" /><Relationship Type="http://schemas.openxmlformats.org/officeDocument/2006/relationships/hyperlink" Id="rId64" Target="https://strengejacke.github.io/ggeffects/" TargetMode="External" /><Relationship Type="http://schemas.openxmlformats.org/officeDocument/2006/relationships/hyperlink" Id="rId63" Target="https://strengejacke.github.io/sjPlot/" TargetMode="External" /><Relationship Type="http://schemas.openxmlformats.org/officeDocument/2006/relationships/hyperlink" Id="rId71" Target="https://tibble.tidyverse.org/" TargetMode="External" /><Relationship Type="http://schemas.openxmlformats.org/officeDocument/2006/relationships/hyperlink" Id="rId70" Target="https://tidyr.tidyverse.org/" TargetMode="External" /><Relationship Type="http://schemas.openxmlformats.org/officeDocument/2006/relationships/hyperlink" Id="rId84" Target="https://www.cambridge.org/core/journals/behavioral-and-brain-sciences/article/magical-number-4-in-shortterm-memory-a-reconsideration-of-mental-storage-capacity/44023F1147D4A1D44BDC0AD226838496" TargetMode="External" /><Relationship Type="http://schemas.openxmlformats.org/officeDocument/2006/relationships/hyperlink" Id="rId54" Target="https://www.tidymodels.org/" TargetMode="External" /><Relationship Type="http://schemas.openxmlformats.org/officeDocument/2006/relationships/hyperlink" Id="rId15" Target="manuscript-submission.qmd" TargetMode="External" /><Relationship Type="http://schemas.openxmlformats.org/officeDocument/2006/relationships/hyperlink" Id="rId101" Target="mathematical-writing.qmd#write-each-sentence-in-words-or-in-math-not-both" TargetMode="External" /><Relationship Type="http://schemas.openxmlformats.org/officeDocument/2006/relationships/hyperlink" Id="rId25" Target="notation.qmd#making-expressions-concise" TargetMode="External" /><Relationship Type="http://schemas.openxmlformats.org/officeDocument/2006/relationships/hyperlink" Id="rId102" Target="notation/one-operation-per-step.qmd" TargetMode="External" /><Relationship Type="http://schemas.openxmlformats.org/officeDocument/2006/relationships/hyperlink" Id="rId14" Target="paper-organization.qmd" TargetMode="External" /><Relationship Type="http://schemas.openxmlformats.org/officeDocument/2006/relationships/hyperlink" Id="rId49" Target="paper-organization.qmd#figures-and-tables" TargetMode="External" /><Relationship Type="http://schemas.openxmlformats.org/officeDocument/2006/relationships/hyperlink" Id="rId13" Target="paper-organization.qmd#standard-paper-structure" TargetMode="External" /><Relationship Type="http://schemas.openxmlformats.org/officeDocument/2006/relationships/hyperlink" Id="rId107" Target="word-choice.qmd#avoid-vague-and-metaphorical-language" TargetMode="External" /><Relationship Type="http://schemas.openxmlformats.org/officeDocument/2006/relationships/hyperlink" Id="rId106" Target="word-choice.qmd#say-which-th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8" Target="avoid-cliches.qmd" TargetMode="External" /><Relationship Type="http://schemas.openxmlformats.org/officeDocument/2006/relationships/hyperlink" Id="rId97" Target="citations-evidence.qmd#adapting-another-courses-material" TargetMode="External" /><Relationship Type="http://schemas.openxmlformats.org/officeDocument/2006/relationships/hyperlink" Id="rId21" Target="citations-evidence.qmd#link-the-words" TargetMode="External" /><Relationship Type="http://schemas.openxmlformats.org/officeDocument/2006/relationships/hyperlink" Id="rId99" Target="citations-evidence.qmd#put-the-content-first" TargetMode="External" /><Relationship Type="http://schemas.openxmlformats.org/officeDocument/2006/relationships/hyperlink" Id="rId98" Target="citations-evidence.qmd#quote-the-original" TargetMode="External" /><Relationship Type="http://schemas.openxmlformats.org/officeDocument/2006/relationships/hyperlink" Id="rId104" Target="conciseness.qmd#lead-with-the-subject" TargetMode="External" /><Relationship Type="http://schemas.openxmlformats.org/officeDocument/2006/relationships/hyperlink" Id="rId88" Target="conciseness.qmd#put-lists-in-bullet-points" TargetMode="External" /><Relationship Type="http://schemas.openxmlformats.org/officeDocument/2006/relationships/hyperlink" Id="rId12" Target="defining-terms.qmd#def-term" TargetMode="External" /><Relationship Type="http://schemas.openxmlformats.org/officeDocument/2006/relationships/hyperlink" Id="rId38" Target="defining-terms.qmd#def-variance-expression-and-prose" TargetMode="External" /><Relationship Type="http://schemas.openxmlformats.org/officeDocument/2006/relationships/hyperlink" Id="rId34" Target="defining-terms.qmd#guidelines-for-defining-terms" TargetMode="External" /><Relationship Type="http://schemas.openxmlformats.org/officeDocument/2006/relationships/hyperlink" Id="rId105" Target="grammar.qmd#demonstrative-pronouns" TargetMode="External" /><Relationship Type="http://schemas.openxmlformats.org/officeDocument/2006/relationships/hyperlink" Id="rId66" Target="https://cran.r-project.org/package=broom" TargetMode="External" /><Relationship Type="http://schemas.openxmlformats.org/officeDocument/2006/relationships/hyperlink" Id="rId61" Target="https://cran.r-project.org/package=gtsummary" TargetMode="External" /><Relationship Type="http://schemas.openxmlformats.org/officeDocument/2006/relationships/hyperlink" Id="rId111" Target="https://doi.org/10.1007/978-1-0716-1418-1" TargetMode="External" /><Relationship Type="http://schemas.openxmlformats.org/officeDocument/2006/relationships/hyperlink" Id="rId109" Target="https://doi.org/10.1073/pnas.1319030111" TargetMode="External" /><Relationship Type="http://schemas.openxmlformats.org/officeDocument/2006/relationships/hyperlink" Id="rId69" Target="https://dplyr.tidyverse.org/" TargetMode="External" /><Relationship Type="http://schemas.openxmlformats.org/officeDocument/2006/relationships/hyperlink" Id="rId60" Target="https://easystats.github.io/parameters/" TargetMode="External" /><Relationship Type="http://schemas.openxmlformats.org/officeDocument/2006/relationships/hyperlink" Id="rId65" Target="https://easystats.github.io/performance/" TargetMode="External" /><Relationship Type="http://schemas.openxmlformats.org/officeDocument/2006/relationships/hyperlink" Id="rId24" Target="https://en.wikipedia.org/wiki/Modular_programming" TargetMode="External" /><Relationship Type="http://schemas.openxmlformats.org/officeDocument/2006/relationships/hyperlink" Id="rId83" Target="https://en.wikipedia.org/wiki/The_Magical_Number_Seven,_Plus_or_Minus_Two" TargetMode="External" /><Relationship Type="http://schemas.openxmlformats.org/officeDocument/2006/relationships/hyperlink" Id="rId62" Target="https://ggplot2.tidyverse.org/" TargetMode="External" /><Relationship Type="http://schemas.openxmlformats.org/officeDocument/2006/relationships/hyperlink" Id="rId55" Target="https://github.com/Morrison-Lab/ISLR-tidymodels-labs" TargetMode="External" /><Relationship Type="http://schemas.openxmlformats.org/officeDocument/2006/relationships/hyperlink" Id="rId46" Target="https://github.com/Morrison-Lab/ai-config/pull/4386" TargetMode="External" /><Relationship Type="http://schemas.openxmlformats.org/officeDocument/2006/relationships/hyperlink" Id="rId17" Target="https://github.com/Morrison-Lab/gha" TargetMode="External" /><Relationship Type="http://schemas.openxmlformats.org/officeDocument/2006/relationships/hyperlink" Id="rId47" Target="https://github.com/Morrison-Lab/gha/issues/1193" TargetMode="External" /><Relationship Type="http://schemas.openxmlformats.org/officeDocument/2006/relationships/hyperlink" Id="rId19" Target="https://github.com/Morrison-Lab/gha/issues/1290" TargetMode="External" /><Relationship Type="http://schemas.openxmlformats.org/officeDocument/2006/relationships/hyperlink" Id="rId18" Target="https://github.com/Morrison-Lab/gha/issues/1309" TargetMode="External" /><Relationship Type="http://schemas.openxmlformats.org/officeDocument/2006/relationships/hyperlink" Id="rId48" Target="https://github.com/Morrison-Lab/gha/pull/1262" TargetMode="External" /><Relationship Type="http://schemas.openxmlformats.org/officeDocument/2006/relationships/hyperlink" Id="rId81" Target="https://github.com/Morrison-Lab/gha/pull/1377" TargetMode="External" /><Relationship Type="http://schemas.openxmlformats.org/officeDocument/2006/relationships/hyperlink" Id="rId50" Target="https://github.com/Morrison-Lab/gha/pull/1378" TargetMode="External" /><Relationship Type="http://schemas.openxmlformats.org/officeDocument/2006/relationships/hyperlink" Id="rId85" Target="https://github.com/Morrison-Lab/gha/pull/1390" TargetMode="External" /><Relationship Type="http://schemas.openxmlformats.org/officeDocument/2006/relationships/hyperlink" Id="rId20" Target="https://github.com/Morrison-Lab/gha/tree/main/check-exercise-question-paragraph" TargetMode="External" /><Relationship Type="http://schemas.openxmlformats.org/officeDocument/2006/relationships/hyperlink" Id="rId67" Target="https://github.com/d-morrison/rme" TargetMode="External" /><Relationship Type="http://schemas.openxmlformats.org/officeDocument/2006/relationships/hyperlink" Id="rId56" Target="https://github.com/intro-stat-learning/ISLP_labs" TargetMode="External" /><Relationship Type="http://schemas.openxmlformats.org/officeDocument/2006/relationships/hyperlink" Id="rId73" Target="https://github.com/quarto-ext/include-code-files" TargetMode="External" /><Relationship Type="http://schemas.openxmlformats.org/officeDocument/2006/relationships/hyperlink" Id="rId26" Target="https://morrison-lab.github.io/mds/" TargetMode="External" /><Relationship Type="http://schemas.openxmlformats.org/officeDocument/2006/relationships/hyperlink" Id="rId35" Target="https://morrison-lab.github.io/mds/functions.html#def-function" TargetMode="External" /><Relationship Type="http://schemas.openxmlformats.org/officeDocument/2006/relationships/hyperlink" Id="rId27" Target="https://morrison-lab.github.io/pds/" TargetMode="External" /><Relationship Type="http://schemas.openxmlformats.org/officeDocument/2006/relationships/hyperlink" Id="rId28" Target="https://morrison-lab.github.io/sds/" TargetMode="External" /><Relationship Type="http://schemas.openxmlformats.org/officeDocument/2006/relationships/hyperlink" Id="rId64" Target="https://strengejacke.github.io/ggeffects/" TargetMode="External" /><Relationship Type="http://schemas.openxmlformats.org/officeDocument/2006/relationships/hyperlink" Id="rId63" Target="https://strengejacke.github.io/sjPlot/" TargetMode="External" /><Relationship Type="http://schemas.openxmlformats.org/officeDocument/2006/relationships/hyperlink" Id="rId71" Target="https://tibble.tidyverse.org/" TargetMode="External" /><Relationship Type="http://schemas.openxmlformats.org/officeDocument/2006/relationships/hyperlink" Id="rId70" Target="https://tidyr.tidyverse.org/" TargetMode="External" /><Relationship Type="http://schemas.openxmlformats.org/officeDocument/2006/relationships/hyperlink" Id="rId84" Target="https://www.cambridge.org/core/journals/behavioral-and-brain-sciences/article/magical-number-4-in-shortterm-memory-a-reconsideration-of-mental-storage-capacity/44023F1147D4A1D44BDC0AD226838496" TargetMode="External" /><Relationship Type="http://schemas.openxmlformats.org/officeDocument/2006/relationships/hyperlink" Id="rId54" Target="https://www.tidymodels.org/" TargetMode="External" /><Relationship Type="http://schemas.openxmlformats.org/officeDocument/2006/relationships/hyperlink" Id="rId15" Target="manuscript-submission.qmd" TargetMode="External" /><Relationship Type="http://schemas.openxmlformats.org/officeDocument/2006/relationships/hyperlink" Id="rId101" Target="mathematical-writing.qmd#write-each-sentence-in-words-or-in-math-not-both" TargetMode="External" /><Relationship Type="http://schemas.openxmlformats.org/officeDocument/2006/relationships/hyperlink" Id="rId25" Target="notation.qmd#making-expressions-concise" TargetMode="External" /><Relationship Type="http://schemas.openxmlformats.org/officeDocument/2006/relationships/hyperlink" Id="rId102" Target="notation/one-operation-per-step.qmd" TargetMode="External" /><Relationship Type="http://schemas.openxmlformats.org/officeDocument/2006/relationships/hyperlink" Id="rId14" Target="paper-organization.qmd" TargetMode="External" /><Relationship Type="http://schemas.openxmlformats.org/officeDocument/2006/relationships/hyperlink" Id="rId49" Target="paper-organization.qmd#figures-and-tables" TargetMode="External" /><Relationship Type="http://schemas.openxmlformats.org/officeDocument/2006/relationships/hyperlink" Id="rId13" Target="paper-organization.qmd#standard-paper-structure" TargetMode="External" /><Relationship Type="http://schemas.openxmlformats.org/officeDocument/2006/relationships/hyperlink" Id="rId107" Target="word-choice.qmd#avoid-vague-and-metaphorical-language" TargetMode="External" /><Relationship Type="http://schemas.openxmlformats.org/officeDocument/2006/relationships/hyperlink" Id="rId106" Target="word-choice.qmd#say-which-th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for teaching</dc:title>
  <dc:creator/>
  <cp:keywords/>
  <dcterms:created xsi:type="dcterms:W3CDTF">2026-11-06T00:43:23Z</dcterms:created>
  <dcterms:modified xsi:type="dcterms:W3CDTF">2026-11-06T00:43:23Z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