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Writing mathematics in sentences</w:t>
      </w:r>
    </w:p>
    <w:p>
      <w:pPr>
        <w:pStyle w:val="Date"/>
      </w:pPr>
      <w:r>
        <w:t xml:space="preserve">Last modified: 2026-11-05 16:37:15 (PST)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AI-Assisted Authorship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chapter was written with the assistance of GitHub Copilot,</w:t>
            </w:r>
            <w:r>
              <w:t xml:space="preserve"> </w:t>
            </w:r>
            <w:r>
              <w:t xml:space="preserve">which expanded on outlined ideas and draft notes provided by the author.</w:t>
            </w:r>
            <w:r>
              <w:t xml:space="preserve"> </w:t>
            </w:r>
            <w:r>
              <w:t xml:space="preserve">The content represents the author’s perspective and has been reviewed for accuracy,</w:t>
            </w:r>
            <w:r>
              <w:t xml:space="preserve"> </w:t>
            </w:r>
            <w:r>
              <w:t xml:space="preserve">but the detailed prose was generated through AI assistance.</w:t>
            </w:r>
          </w:p>
          <w:p/>
        </w:tc>
      </w:tr>
    </w:tbl>
    <w:p>
      <w:pPr>
        <w:pStyle w:val="BodyText"/>
      </w:pPr>
      <w:r>
        <w:t xml:space="preserve">A mathematical paper is made of sentences, and the formulas are part of the sentences.</w:t>
      </w:r>
      <w:r>
        <w:t xml:space="preserve"> </w:t>
      </w:r>
      <w:r>
        <w:t xml:space="preserve">This chapter collects rules for fitting formulas into prose.</w:t>
      </w:r>
      <w:r>
        <w:t xml:space="preserve"> </w:t>
      </w:r>
      <w:r>
        <w:t xml:space="preserve">It draws on the lecture notes of a Stanford course on mathematical writing</w:t>
      </w:r>
      <w:r>
        <w:t xml:space="preserve"> </w:t>
      </w:r>
      <w:r>
        <w:t xml:space="preserve">(Knuth et al. 1987)</w:t>
      </w:r>
      <w:r>
        <w:t xml:space="preserve">.</w:t>
      </w:r>
      <w:r>
        <w:t xml:space="preserve"> </w:t>
      </w:r>
      <w:r>
        <w:t xml:space="preserve">This chapter selects the rules that bear most on formulas.</w:t>
      </w:r>
      <w:r>
        <w:t xml:space="preserve"> </w:t>
      </w:r>
      <w:r>
        <w:t xml:space="preserve">Several of the course’s other rules appear in other chapters,</w:t>
      </w:r>
      <w:r>
        <w:t xml:space="preserve"> </w:t>
      </w:r>
      <w:r>
        <w:t xml:space="preserve">and</w:t>
      </w:r>
      <w:r>
        <w:t xml:space="preserve"> </w:t>
      </w:r>
      <w:hyperlink w:anchor="tbl-knuth-elsewhere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points to them.</w:t>
      </w:r>
      <w:r>
        <w:t xml:space="preserve"> </w:t>
      </w:r>
      <w:r>
        <w:t xml:space="preserve">The notes also cover spelling, punctuation and refereeing, which this book does not.</w:t>
      </w:r>
    </w:p>
    <w:bookmarkStart w:id="27" w:name="keep-formulas-inside-sentences"/>
    <w:p>
      <w:pPr>
        <w:pStyle w:val="Heading1"/>
      </w:pPr>
      <w:r>
        <w:t xml:space="preserve">1. Keep formulas inside sentences</w:t>
      </w:r>
    </w:p>
    <w:p>
      <w:pPr>
        <w:pStyle w:val="FirstParagraph"/>
      </w:pPr>
      <w:r>
        <w:t xml:space="preserve">Readers encounter a formula as part of a sentence,</w:t>
      </w:r>
      <w:r>
        <w:t xml:space="preserve"> </w:t>
      </w:r>
      <w:r>
        <w:t xml:space="preserve">so the words around it decide whether the formula can be read.</w:t>
      </w:r>
    </w:p>
    <w:bookmarkStart w:id="13" w:name="separate-formulas-with-words"/>
    <w:p>
      <w:pPr>
        <w:pStyle w:val="Heading2"/>
      </w:pPr>
      <w:r>
        <w:t xml:space="preserve">1.1 Separate formulas with words</w:t>
      </w:r>
    </w:p>
    <w:p>
      <w:pPr>
        <w:pStyle w:val="FirstParagraph"/>
      </w:pPr>
      <w:r>
        <w:t xml:space="preserve">Put words between two formulas.</w:t>
      </w:r>
      <w:r>
        <w:t xml:space="preserve"> </w:t>
      </w:r>
      <w:r>
        <w:t xml:space="preserve">Without them, the reader cannot tell where one formula ends and the next begins.</w:t>
      </w:r>
    </w:p>
    <w:bookmarkStart w:id="12" w:name="exm-separate-formulas"/>
    <w:p>
      <w:pPr>
        <w:pStyle w:val="BodyText"/>
      </w:pPr>
      <w:r>
        <w:rPr>
          <w:b/>
          <w:bCs/>
        </w:rPr>
        <w:t xml:space="preserve">Example 1 (Separating two formulas)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Define</w:t>
      </w:r>
      <w:r>
        <w:t xml:space="preserve"> </w:t>
      </w:r>
      <m:oMath>
        <m:sSub>
          <m:e>
            <m:r>
              <m:t>f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2</m:t>
        </m:r>
      </m:oMath>
      <w:r>
        <w:t xml:space="preserve">.</w:t>
      </w:r>
    </w:p>
    <w:p>
      <w:pPr>
        <w:pStyle w:val="BlockText"/>
      </w:pPr>
      <w:r>
        <w:t xml:space="preserve">✅ Define</w:t>
      </w:r>
      <w:r>
        <w:t xml:space="preserve"> </w:t>
      </w:r>
      <m:oMath>
        <m:sSub>
          <m:e>
            <m:r>
              <m:t>f</m:t>
            </m:r>
          </m:e>
          <m:sub>
            <m:r>
              <m:t>k</m:t>
            </m:r>
          </m:sub>
        </m:sSub>
      </m:oMath>
      <w:r>
        <w:t xml:space="preserve">, where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2</m:t>
        </m:r>
      </m:oMath>
      <w:r>
        <w:t xml:space="preserve">.</w:t>
      </w:r>
    </w:p>
    <w:p>
      <w:pPr>
        <w:pStyle w:val="FirstParagraph"/>
      </w:pPr>
      <w:r>
        <w:t xml:space="preserve">In the ❌ version the comma between the two formulas seems to belong to the first one.</w:t>
      </w:r>
      <w:r>
        <w:t xml:space="preserve"> </w:t>
      </w:r>
      <w:r>
        <w:t xml:space="preserve">The ✅ version names the relation between them.</w:t>
      </w:r>
    </w:p>
    <w:bookmarkEnd w:id="12"/>
    <w:bookmarkEnd w:id="13"/>
    <w:bookmarkStart w:id="15" w:name="do-not-start-a-sentence-with-a-symbol"/>
    <w:p>
      <w:pPr>
        <w:pStyle w:val="Heading2"/>
      </w:pPr>
      <w:r>
        <w:t xml:space="preserve">1.2 Do not start a sentence with a symbol</w:t>
      </w:r>
    </w:p>
    <w:p>
      <w:pPr>
        <w:pStyle w:val="FirstParagraph"/>
      </w:pPr>
      <w:r>
        <w:t xml:space="preserve">A sentence that starts with a symbol is hard to see as a new sentence,</w:t>
      </w:r>
      <w:r>
        <w:t xml:space="preserve"> </w:t>
      </w:r>
      <w:r>
        <w:t xml:space="preserve">because the formula runs on from the period before it.</w:t>
      </w:r>
      <w:r>
        <w:t xml:space="preserve"> </w:t>
      </w:r>
      <w:r>
        <w:t xml:space="preserve">Start with a word, such as the name of the object.</w:t>
      </w:r>
    </w:p>
    <w:bookmarkStart w:id="14" w:name="exm-symbol-first"/>
    <w:p>
      <w:pPr>
        <w:pStyle w:val="BodyText"/>
      </w:pPr>
      <w:r>
        <w:rPr>
          <w:b/>
          <w:bCs/>
        </w:rPr>
        <w:t xml:space="preserve">Example 2 (Starting a sentence with a word)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</w:t>
      </w:r>
      <w:r>
        <w:t xml:space="preserve"> </w:t>
      </w:r>
      <m:oMath>
        <m:sSup>
          <m:e>
            <m:r>
              <m:t>t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</m:oMath>
      <w:r>
        <w:t xml:space="preserve"> </w:t>
      </w:r>
      <w:r>
        <w:t xml:space="preserve">has two real roots.</w:t>
      </w:r>
    </w:p>
    <w:p>
      <w:pPr>
        <w:pStyle w:val="BlockText"/>
      </w:pPr>
      <w:r>
        <w:t xml:space="preserve">✅ The polynomial</w:t>
      </w:r>
      <w:r>
        <w:t xml:space="preserve"> </w:t>
      </w:r>
      <m:oMath>
        <m:sSup>
          <m:e>
            <m:r>
              <m:t>t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</m:oMath>
      <w:r>
        <w:t xml:space="preserve"> </w:t>
      </w:r>
      <w:r>
        <w:t xml:space="preserve">has two real roots.</w:t>
      </w:r>
    </w:p>
    <w:bookmarkEnd w:id="14"/>
    <w:bookmarkEnd w:id="15"/>
    <w:bookmarkStart w:id="16" w:name="write-logical-symbols-as-words"/>
    <w:p>
      <w:pPr>
        <w:pStyle w:val="Heading2"/>
      </w:pPr>
      <w:r>
        <w:t xml:space="preserve">1.3 Write logical symbols as words</w:t>
      </w:r>
    </w:p>
    <w:p>
      <w:pPr>
        <w:pStyle w:val="FirstParagraph"/>
      </w:pPr>
      <w:r>
        <w:t xml:space="preserve">In prose, write</w:t>
      </w:r>
      <w:r>
        <w:t xml:space="preserve"> </w:t>
      </w:r>
      <w:r>
        <w:t xml:space="preserve">“implies”</w:t>
      </w:r>
      <w:r>
        <w:t xml:space="preserve">,</w:t>
      </w:r>
      <w:r>
        <w:t xml:space="preserve"> </w:t>
      </w:r>
      <w:r>
        <w:t xml:space="preserve">“for every”</w:t>
      </w:r>
      <w:r>
        <w:t xml:space="preserve"> </w:t>
      </w:r>
      <w:r>
        <w:t xml:space="preserve">and</w:t>
      </w:r>
      <w:r>
        <w:t xml:space="preserve"> </w:t>
      </w:r>
      <w:r>
        <w:t xml:space="preserve">“there exists”</w:t>
      </w:r>
      <w:r>
        <w:t xml:space="preserve">,</w:t>
      </w:r>
      <w:r>
        <w:t xml:space="preserve"> </w:t>
      </w:r>
      <w:r>
        <w:t xml:space="preserve">not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∃</m:t>
        </m:r>
      </m:oMath>
      <w:r>
        <w:t xml:space="preserve">.</w:t>
      </w:r>
      <w:r>
        <w:t xml:space="preserve"> </w:t>
      </w:r>
      <w:r>
        <w:t xml:space="preserve">The same goes for the symbols for</w:t>
      </w:r>
      <w:r>
        <w:t xml:space="preserve"> </w:t>
      </w:r>
      <w:r>
        <w:t xml:space="preserve">“therefore”</w:t>
      </w:r>
      <w:r>
        <w:t xml:space="preserve"> </w:t>
      </w:r>
      <w:r>
        <w:t xml:space="preserve">and</w:t>
      </w:r>
      <w:r>
        <w:t xml:space="preserve"> </w:t>
      </w:r>
      <w:r>
        <w:t xml:space="preserve">“such that”</w:t>
      </w:r>
      <w:r>
        <w:t xml:space="preserve">.</w:t>
      </w:r>
      <w:r>
        <w:t xml:space="preserve"> </w:t>
      </w:r>
      <w:r>
        <w:t xml:space="preserve">Keep the symbols in a work on logic.</w:t>
      </w:r>
    </w:p>
    <w:bookmarkEnd w:id="16"/>
    <w:bookmarkStart w:id="17" w:name="X5b5806410b0a2910a724cb8c3691681c247a7a7"/>
    <w:p>
      <w:pPr>
        <w:pStyle w:val="Heading2"/>
      </w:pPr>
      <w:r>
        <w:t xml:space="preserve">1.4 Test the sentence with the formulas removed</w:t>
      </w:r>
    </w:p>
    <w:p>
      <w:pPr>
        <w:pStyle w:val="FirstParagraph"/>
      </w:pPr>
      <w:r>
        <w:t xml:space="preserve">Many readers skim past the formulas on a first reading.</w:t>
      </w:r>
      <w:r>
        <w:t xml:space="preserve"> </w:t>
      </w:r>
      <w:r>
        <w:t xml:space="preserve">Replace each formula by a placeholder such as</w:t>
      </w:r>
      <w:r>
        <w:t xml:space="preserve"> </w:t>
      </w:r>
      <w:r>
        <w:t xml:space="preserve">“blah”</w:t>
      </w:r>
      <w:r>
        <w:t xml:space="preserve">.</w:t>
      </w:r>
      <w:r>
        <w:t xml:space="preserve"> </w:t>
      </w:r>
      <w:r>
        <w:t xml:space="preserve">If the sentence no longer reads smoothly,</w:t>
      </w:r>
      <w:r>
        <w:t xml:space="preserve"> </w:t>
      </w:r>
      <w:r>
        <w:t xml:space="preserve">rewrite it.</w:t>
      </w:r>
    </w:p>
    <w:bookmarkEnd w:id="17"/>
    <w:bookmarkStart w:id="18" w:name="tie-formulas-together-with-commentary"/>
    <w:p>
      <w:pPr>
        <w:pStyle w:val="Heading2"/>
      </w:pPr>
      <w:r>
        <w:t xml:space="preserve">1.5 Tie formulas together with commentary</w:t>
      </w:r>
    </w:p>
    <w:p>
      <w:pPr>
        <w:pStyle w:val="FirstParagraph"/>
      </w:pPr>
      <w:r>
        <w:t xml:space="preserve">A list of formulas with no words between them is the style of a homework paper.</w:t>
      </w:r>
      <w:r>
        <w:t xml:space="preserve"> </w:t>
      </w:r>
      <w:r>
        <w:t xml:space="preserve">Say what each step does and why the next one follows.</w:t>
      </w:r>
      <w:r>
        <w:t xml:space="preserve"> </w:t>
      </w:r>
      <w:r>
        <w:t xml:space="preserve">A sentence such as</w:t>
      </w:r>
      <w:r>
        <w:t xml:space="preserve"> </w:t>
      </w:r>
      <w:r>
        <w:t xml:space="preserve">“Because the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has an element, we can pick one and call it</w:t>
      </w:r>
      <w:r>
        <w:t xml:space="preserve"> </w:t>
      </w:r>
      <m:oMath>
        <m:r>
          <m:t>s</m:t>
        </m:r>
      </m:oMath>
      <w:r>
        <w:t xml:space="preserve">”</w:t>
      </w:r>
      <w:r>
        <w:t xml:space="preserve"> </w:t>
      </w:r>
      <w:r>
        <w:t xml:space="preserve">tells the reader</w:t>
      </w:r>
      <w:r>
        <w:t xml:space="preserve"> </w:t>
      </w:r>
      <w:r>
        <w:t xml:space="preserve">where the argument is going, and the bare formula does not.</w:t>
      </w:r>
    </w:p>
    <w:bookmarkEnd w:id="18"/>
    <w:bookmarkStart w:id="24" w:name="make-the-prose-say-what-the-formula-says"/>
    <w:p>
      <w:pPr>
        <w:pStyle w:val="Heading2"/>
      </w:pPr>
      <w:r>
        <w:t xml:space="preserve">1.6 Make the prose say what the formula says</w:t>
      </w:r>
    </w:p>
    <w:p>
      <w:pPr>
        <w:pStyle w:val="FirstParagraph"/>
      </w:pPr>
      <w:r>
        <w:t xml:space="preserve">The sentence that introduces or interprets a formula must describe that formula.</w:t>
      </w:r>
      <w:r>
        <w:t xml:space="preserve"> </w:t>
      </w:r>
      <w:r>
        <w:t xml:space="preserve">Check every</w:t>
      </w:r>
      <w:r>
        <w:t xml:space="preserve"> </w:t>
      </w:r>
      <w:hyperlink r:id="rId19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in the sentence against the formula, symbol by symbol.</w:t>
      </w:r>
      <w:r>
        <w:t xml:space="preserve"> </w:t>
      </w:r>
      <w:r>
        <w:t xml:space="preserve">The words and the symbols must name the same quantity, the same data, and the same kind of average.</w:t>
      </w:r>
      <w:r>
        <w:t xml:space="preserve"> </w:t>
      </w:r>
      <w:r>
        <w:t xml:space="preserve">When you change one, change the other in the same edit.</w:t>
      </w:r>
    </w:p>
    <w:bookmarkStart w:id="21" w:name="exm-prose-matches-math"/>
    <w:p>
      <w:pPr>
        <w:pStyle w:val="BodyText"/>
      </w:pPr>
      <w:r>
        <w:rPr>
          <w:b/>
          <w:bCs/>
        </w:rPr>
        <w:t xml:space="preserve">Example 3 (A sentence that names the wrong average)</w:t>
      </w:r>
      <w:r>
        <w:t xml:space="preserve"> </w:t>
      </w:r>
      <w:r>
        <w:t xml:space="preserve">Suppose the formula is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sSub>
                  <m:e>
                    <m:r>
                      <m:t>Y</m:t>
                    </m:r>
                  </m:e>
                  <m:sub>
                    <m:r>
                      <m:rPr>
                        <m:sty m:val="p"/>
                      </m:rPr>
                      <m:t>*</m:t>
                    </m:r>
                  </m:sub>
                </m:sSub>
                <m:r>
                  <m:rPr>
                    <m:sty m:val="p"/>
                  </m:rPr>
                  <m:t>−</m:t>
                </m:r>
                <m:acc>
                  <m:accPr>
                    <m:chr m:val="̂"/>
                  </m:accPr>
                  <m:e>
                    <m:r>
                      <m:t>y</m:t>
                    </m:r>
                  </m:e>
                </m:acc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</m:e>
            </m:d>
            <m:sSup>
              <m:e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, a</w:t>
      </w:r>
      <w:r>
        <w:t xml:space="preserve"> </w:t>
      </w:r>
      <w:hyperlink r:id="rId20">
        <w:r>
          <w:rPr>
            <w:rStyle w:val="Hyperlink"/>
          </w:rPr>
          <w:t xml:space="preserve">population</w:t>
        </w:r>
      </w:hyperlink>
      <w:r>
        <w:t xml:space="preserve"> </w:t>
      </w:r>
      <w:r>
        <w:t xml:space="preserve">mean at one covariate value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The sentence</w:t>
      </w:r>
      <w:r>
        <w:t xml:space="preserve"> </w:t>
      </w:r>
      <w:r>
        <w:t xml:space="preserve">“the average squared error over the training set”</w:t>
      </w:r>
      <w:r>
        <w:t xml:space="preserve"> </w:t>
      </w:r>
      <w:r>
        <w:t xml:space="preserve">does not describe it.</w:t>
      </w:r>
      <w:r>
        <w:t xml:space="preserve"> </w:t>
      </w:r>
      <w:r>
        <w:t xml:space="preserve">It names a sample average over many observations.</w:t>
      </w:r>
      <w:r>
        <w:t xml:space="preserve"> </w:t>
      </w:r>
      <w:r>
        <w:t xml:space="preserve">Write</w:t>
      </w:r>
      <w:r>
        <w:t xml:space="preserve"> </w:t>
      </w:r>
      <w:r>
        <w:t xml:space="preserve">“the expected squared prediction error at</w:t>
      </w:r>
      <w:r>
        <w:t xml:space="preserve"> </w:t>
      </w:r>
      <m:oMath>
        <m:r>
          <m:t>x</m:t>
        </m:r>
      </m:oMath>
      <w:r>
        <w:t xml:space="preserve">”</w:t>
      </w:r>
      <w:r>
        <w:t xml:space="preserve"> </w:t>
      </w:r>
      <w:r>
        <w:t xml:space="preserve">instead.</w:t>
      </w:r>
    </w:p>
    <w:bookmarkEnd w:id="21"/>
    <w:p>
      <w:pPr>
        <w:pStyle w:val="BodyText"/>
      </w:pPr>
      <w:r>
        <w:t xml:space="preserve">Before you submit, reread each formula next to the sentence that describes it.</w:t>
      </w:r>
      <w:r>
        <w:t xml:space="preserve"> </w:t>
      </w:r>
      <w:r>
        <w:t xml:space="preserve">Do the same after every edit to either one.</w:t>
      </w:r>
      <w:r>
        <w:t xml:space="preserve"> </w:t>
      </w:r>
      <w:r>
        <w:t xml:space="preserve">Related rules cover</w:t>
      </w:r>
      <w:r>
        <w:t xml:space="preserve"> </w:t>
      </w:r>
      <w:hyperlink r:id="rId22">
        <w:r>
          <w:rPr>
            <w:rStyle w:val="Hyperlink"/>
          </w:rPr>
          <w:t xml:space="preserve">using one notation for one thing</w:t>
        </w:r>
      </w:hyperlink>
      <w:r>
        <w:t xml:space="preserve"> </w:t>
      </w:r>
      <w:r>
        <w:t xml:space="preserve">and</w:t>
      </w:r>
      <w:r>
        <w:t xml:space="preserve"> </w:t>
      </w:r>
      <w:hyperlink r:id="rId23">
        <w:r>
          <w:rPr>
            <w:rStyle w:val="Hyperlink"/>
          </w:rPr>
          <w:t xml:space="preserve">defining every variable when you introduce it</w:t>
        </w:r>
      </w:hyperlink>
      <w:r>
        <w:t xml:space="preserve">.</w:t>
      </w:r>
    </w:p>
    <w:bookmarkEnd w:id="24"/>
    <w:bookmarkStart w:id="26" w:name="Xefe13e73e12914023d8f2c0f69ba86b25ec3c0b"/>
    <w:p>
      <w:pPr>
        <w:pStyle w:val="Heading2"/>
      </w:pPr>
      <w:r>
        <w:t xml:space="preserve">1.7 Write each sentence in words or in math, not both</w:t>
      </w:r>
    </w:p>
    <w:p>
      <w:pPr>
        <w:pStyle w:val="FirstParagraph"/>
      </w:pPr>
      <w:r>
        <w:t xml:space="preserve">A sentence is either entirely in words or entirely in math.</w:t>
      </w:r>
      <w:r>
        <w:t xml:space="preserve"> </w:t>
      </w:r>
      <w:r>
        <w:t xml:space="preserve">A single inline expression inside a word sentence is fine,</w:t>
      </w:r>
      <w:r>
        <w:t xml:space="preserve"> </w:t>
      </w:r>
      <w:r>
        <w:t xml:space="preserve">as in</w:t>
      </w:r>
      <w:r>
        <w:t xml:space="preserve"> </w:t>
      </w:r>
      <w:r>
        <w:t xml:space="preserve">“the prediction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equals the conditional mean”</w:t>
      </w:r>
      <w:r>
        <w:t xml:space="preserve">.</w:t>
      </w:r>
      <w:r>
        <w:t xml:space="preserve"> </w:t>
      </w:r>
      <w:r>
        <w:t xml:space="preserve"> </w:t>
      </w:r>
      <w:r>
        <w:t xml:space="preserve">A sentence that states one condition in words and a second condition as a relation between expressions is a hybrid.</w:t>
      </w:r>
      <w:r>
        <w:t xml:space="preserve"> </w:t>
      </w:r>
      <w:r>
        <w:t xml:space="preserve">Split it into two complete sentences:</w:t>
      </w:r>
      <w:r>
        <w:t xml:space="preserve"> </w:t>
      </w:r>
      <w:r>
        <w:t xml:space="preserve">the first states the result in words, and the second states it as a displayed formula.</w:t>
      </w:r>
    </w:p>
    <w:bookmarkStart w:id="25" w:name="exm-no-hybrid-sentences"/>
    <w:p>
      <w:pPr>
        <w:pStyle w:val="BodyText"/>
      </w:pPr>
      <w:r>
        <w:rPr>
          <w:b/>
          <w:bCs/>
        </w:rPr>
        <w:t xml:space="preserve">Example 4 (Splitting a hybrid sentence)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The reducible risk is zero if and only if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≠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t xml:space="preserve">✅ The reducible risk is zero if and only if the prediction function differs from the conditional mean with probability 0.</w:t>
      </w:r>
      <w:r>
        <w:t xml:space="preserve"> </w:t>
      </w:r>
    </w:p>
    <w:p>
      <w:pPr>
        <w:pStyle w:val="Block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rPr>
                              <m:scr m:val="double-struck"/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r>
                                <m:t>Y</m:t>
                              </m:r>
                              <m:r>
                                <m:rPr>
                                  <m:sty m:val="p"/>
                                </m:rPr>
                                <m:t>∣</m:t>
                              </m:r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f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  <m:e>
              <m:r>
                <m:rPr>
                  <m:sty m:val="p"/>
                </m:rPr>
                <m:t>⇔</m:t>
              </m:r>
              <m:r>
                <m:rPr>
                  <m:scr m:val="double-struck"/>
                  <m:sty m:val="p"/>
                </m:rPr>
                <m:t>P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f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≠</m:t>
                  </m:r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eqArr>
        </m:oMath>
      </m:oMathPara>
    </w:p>
    <w:p>
      <w:pPr>
        <w:pStyle w:val="FirstParagraph"/>
      </w:pPr>
      <w:r>
        <w:t xml:space="preserve">The ❌ version puts the first condition in words and the second in math.</w:t>
      </w:r>
      <w:r>
        <w:t xml:space="preserve"> </w:t>
      </w:r>
      <w:r>
        <w:t xml:space="preserve">The ✅ version says the result once in words and once in math.</w:t>
      </w:r>
    </w:p>
    <w:bookmarkEnd w:id="25"/>
    <w:bookmarkEnd w:id="26"/>
    <w:bookmarkEnd w:id="27"/>
    <w:bookmarkStart w:id="29" w:name="introduce-a-theorem-with-a-sentence"/>
    <w:p>
      <w:pPr>
        <w:pStyle w:val="Heading1"/>
      </w:pPr>
      <w:r>
        <w:t xml:space="preserve">2. Introduce a theorem with a sentence</w:t>
      </w:r>
    </w:p>
    <w:p>
      <w:pPr>
        <w:pStyle w:val="FirstParagraph"/>
      </w:pPr>
      <w:r>
        <w:t xml:space="preserve">The line before a theorem, lemma or algorithm should be a complete sentence,</w:t>
      </w:r>
      <w:r>
        <w:t xml:space="preserve"> </w:t>
      </w:r>
      <w:r>
        <w:t xml:space="preserve">or end with a colon.</w:t>
      </w:r>
      <w:r>
        <w:t xml:space="preserve"> </w:t>
      </w:r>
      <w:r>
        <w:t xml:space="preserve">Do not let a heading such as</w:t>
      </w:r>
      <w:r>
        <w:t xml:space="preserve"> </w:t>
      </w:r>
      <w:r>
        <w:t xml:space="preserve">“Theorem”</w:t>
      </w:r>
      <w:r>
        <w:t xml:space="preserve"> </w:t>
      </w:r>
      <w:r>
        <w:t xml:space="preserve">finish a sentence that began above it.</w:t>
      </w:r>
    </w:p>
    <w:bookmarkStart w:id="28" w:name="exm-introduce-theorem"/>
    <w:p>
      <w:pPr>
        <w:pStyle w:val="BodyText"/>
      </w:pPr>
      <w:r>
        <w:rPr>
          <w:b/>
          <w:bCs/>
        </w:rPr>
        <w:t xml:space="preserve">Example 5 (Introducing a theorem)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This gives the following</w:t>
      </w:r>
      <w:r>
        <w:t xml:space="preserve"> </w:t>
      </w:r>
      <w:r>
        <w:rPr>
          <w:b/>
          <w:bCs/>
        </w:rPr>
        <w:t xml:space="preserve">Theorem.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increasing.</w:t>
      </w:r>
    </w:p>
    <w:p>
      <w:pPr>
        <w:pStyle w:val="BlockText"/>
      </w:pPr>
      <w:r>
        <w:t xml:space="preserve">✅ Next we prove a result about monotonicity.</w:t>
      </w:r>
      <w:r>
        <w:t xml:space="preserve"> </w:t>
      </w:r>
      <w:r>
        <w:rPr>
          <w:b/>
          <w:bCs/>
        </w:rPr>
        <w:t xml:space="preserve">Theorem.</w:t>
      </w:r>
      <w:r>
        <w:t xml:space="preserve"> </w:t>
      </w:r>
      <w:r>
        <w:t xml:space="preserve">The function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defined in equation (3) is increasing.</w:t>
      </w:r>
      <w:r>
        <w:t xml:space="preserve"> </w:t>
      </w:r>
    </w:p>
    <w:p>
      <w:pPr>
        <w:pStyle w:val="FirstParagraph"/>
      </w:pPr>
      <w:r>
        <w:t xml:space="preserve">The ❌ version breaks a sentence across the theorem and starts the theorem with a symbol.</w:t>
      </w:r>
      <w:r>
        <w:t xml:space="preserve"> </w:t>
      </w:r>
      <w:r>
        <w:t xml:space="preserve">The ✅ version uses a complete sentence, and the theorem names its object.</w:t>
      </w:r>
    </w:p>
    <w:bookmarkEnd w:id="28"/>
    <w:p>
      <w:pPr>
        <w:pStyle w:val="BodyText"/>
      </w:pPr>
      <w:r>
        <w:t xml:space="preserve">Write the statement of a theorem so that it stands alone.</w:t>
      </w:r>
      <w:r>
        <w:t xml:space="preserve"> </w:t>
      </w:r>
      <w:r>
        <w:t xml:space="preserve">A reader who jumps to the theorem should not need the assumptions in the paragraph before it,</w:t>
      </w:r>
      <w:r>
        <w:t xml:space="preserve"> </w:t>
      </w:r>
      <w:r>
        <w:t xml:space="preserve">so repeat them in the statement.</w:t>
      </w:r>
    </w:p>
    <w:bookmarkEnd w:id="29"/>
    <w:bookmarkStart w:id="32" w:name="X635c8c263491261849c5951c600a7c8b3b0ab19"/>
    <w:p>
      <w:pPr>
        <w:pStyle w:val="Heading1"/>
      </w:pPr>
      <w:r>
        <w:t xml:space="preserve">3. Display and number the formulas that matter</w:t>
      </w:r>
    </w:p>
    <w:p>
      <w:pPr>
        <w:pStyle w:val="FirstParagraph"/>
      </w:pPr>
      <w:r>
        <w:t xml:space="preserve">Put each important formula on a line by itself.</w:t>
      </w:r>
      <w:r>
        <w:t xml:space="preserve"> </w:t>
      </w:r>
      <w:r>
        <w:t xml:space="preserve">Number the important ones, even if you do not refer to them,</w:t>
      </w:r>
      <w:r>
        <w:t xml:space="preserve"> </w:t>
      </w:r>
      <w:r>
        <w:t xml:space="preserve">because a reader may want to refer to them later.</w:t>
      </w:r>
      <w:r>
        <w:t xml:space="preserve"> </w:t>
      </w:r>
      <w:r>
        <w:t xml:space="preserve">Quarto’s</w:t>
      </w:r>
      <w:r>
        <w:t xml:space="preserve"> </w:t>
      </w:r>
      <w:hyperlink r:id="rId30">
        <w:r>
          <w:rPr>
            <w:rStyle w:val="Hyperlink"/>
          </w:rPr>
          <w:t xml:space="preserve">equation cross-references</w:t>
        </w:r>
      </w:hyperlink>
      <w:r>
        <w:t xml:space="preserve"> </w:t>
      </w:r>
      <w:r>
        <w:t xml:space="preserve">number a display and let you link to it.</w:t>
      </w:r>
    </w:p>
    <w:p>
      <w:pPr>
        <w:pStyle w:val="BodyText"/>
      </w:pPr>
      <w:r>
        <w:t xml:space="preserve">A key equation always goes in a display, never inline.</w:t>
      </w:r>
      <w:r>
        <w:t xml:space="preserve"> </w:t>
      </w:r>
      <w:r>
        <w:t xml:space="preserve">A key equation is any of these:</w:t>
      </w:r>
    </w:p>
    <w:p>
      <w:pPr>
        <w:pStyle w:val="Compact"/>
        <w:numPr>
          <w:ilvl w:val="0"/>
          <w:numId w:val="1001"/>
        </w:numPr>
      </w:pPr>
      <w:r>
        <w:t xml:space="preserve">the conclusion of a theorem, lemma, or proposition;</w:t>
      </w:r>
    </w:p>
    <w:p>
      <w:pPr>
        <w:pStyle w:val="Compact"/>
        <w:numPr>
          <w:ilvl w:val="0"/>
          <w:numId w:val="1001"/>
        </w:numPr>
      </w:pPr>
      <w:r>
        <w:t xml:space="preserve">an equation that a proof builds toward;</w:t>
      </w:r>
    </w:p>
    <w:p>
      <w:pPr>
        <w:pStyle w:val="Compact"/>
        <w:numPr>
          <w:ilvl w:val="0"/>
          <w:numId w:val="1001"/>
        </w:numPr>
      </w:pPr>
      <w:r>
        <w:t xml:space="preserve">an equation that a later step refers to.</w:t>
      </w:r>
    </w:p>
    <w:p>
      <w:pPr>
        <w:pStyle w:val="FirstParagraph"/>
      </w:pPr>
      <w:r>
        <w:t xml:space="preserve">In a proof, a sentence such as</w:t>
      </w:r>
      <w:r>
        <w:t xml:space="preserve"> </w:t>
      </w:r>
      <w:r>
        <w:t xml:space="preserve">“so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“this gives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”</w:t>
      </w:r>
      <w:r>
        <w:t xml:space="preserve"> </w:t>
      </w:r>
      <w:r>
        <w:t xml:space="preserve">hides the result in the middle of a line.</w:t>
      </w:r>
      <w:r>
        <w:t xml:space="preserve"> </w:t>
      </w:r>
      <w:r>
        <w:t xml:space="preserve">Put the equation in a display and let the sentence introduce it.</w:t>
      </w:r>
      <w:r>
        <w:t xml:space="preserve"> </w:t>
      </w:r>
      <w:r>
        <w:t xml:space="preserve">Use inline math for symbols and short expressions inside a sentence,</w:t>
      </w:r>
      <w:r>
        <w:t xml:space="preserve"> </w:t>
      </w:r>
      <w:r>
        <w:t xml:space="preserve">not for the equation the reader is meant to remember.</w:t>
      </w:r>
    </w:p>
    <w:bookmarkStart w:id="31" w:name="exm-key-equation-displayed"/>
    <w:p>
      <w:pPr>
        <w:pStyle w:val="BodyText"/>
      </w:pPr>
      <w:r>
        <w:rPr>
          <w:b/>
          <w:bCs/>
        </w:rPr>
        <w:t xml:space="preserve">Example 6 (Displaying the normal equations)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Setting the gradient to zero yields</w:t>
      </w:r>
      <w:r>
        <w:t xml:space="preserve"> </w:t>
      </w:r>
      <m:oMath>
        <m:sSup>
          <m:e>
            <m:r>
              <m:t>D</m:t>
            </m:r>
          </m:e>
          <m:sup>
            <m:r>
              <m:rPr>
                <m:sty m:val="p"/>
              </m:rPr>
              <m:t>⊤</m:t>
            </m:r>
          </m:sup>
        </m:sSup>
        <m:r>
          <m:t>D</m:t>
        </m:r>
        <m:limLow>
          <m:e>
            <m:r>
              <m:t>β</m:t>
            </m:r>
          </m:e>
          <m:lim>
            <m:r>
              <m:rPr>
                <m:sty m:val="p"/>
              </m:rPr>
              <m:t>∼</m:t>
            </m:r>
          </m:lim>
        </m:limLow>
        <m:r>
          <m:rPr>
            <m:sty m:val="p"/>
          </m:rPr>
          <m:t>=</m:t>
        </m:r>
        <m:sSup>
          <m:e>
            <m:r>
              <m:t>D</m:t>
            </m:r>
          </m:e>
          <m:sup>
            <m:r>
              <m:rPr>
                <m:sty m:val="p"/>
              </m:rPr>
              <m:t>⊤</m:t>
            </m:r>
          </m:sup>
        </m:sSup>
        <m:limLow>
          <m:e>
            <m:r>
              <m:t>y</m:t>
            </m:r>
          </m:e>
          <m:lim>
            <m:r>
              <m:rPr>
                <m:sty m:val="p"/>
              </m:rPr>
              <m:t>∼</m:t>
            </m:r>
          </m:lim>
        </m:limLow>
      </m:oMath>
      <w:r>
        <w:t xml:space="preserve">.</w:t>
      </w:r>
    </w:p>
    <w:p>
      <w:pPr>
        <w:pStyle w:val="BlockText"/>
      </w:pPr>
      <w:r>
        <w:t xml:space="preserve">✅ Setting the gradient to zero yields the normal equations:</w:t>
      </w:r>
    </w:p>
    <w:p>
      <w:pPr>
        <w:pStyle w:val="BlockText"/>
      </w:pPr>
      <m:oMathPara>
        <m:oMathParaPr>
          <m:jc m:val="center"/>
        </m:oMathParaPr>
        <m:oMath>
          <m:sSup>
            <m:e>
              <m:r>
                <m:t>D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t>D</m:t>
          </m:r>
          <m:limLow>
            <m:e>
              <m:r>
                <m:t>β</m:t>
              </m:r>
            </m:e>
            <m:lim>
              <m:r>
                <m:rPr>
                  <m:sty m:val="p"/>
                </m:rPr>
                <m:t>∼</m:t>
              </m:r>
            </m:lim>
          </m:limLow>
          <m:r>
            <m:rPr>
              <m:sty m:val="p"/>
            </m:rPr>
            <m:t>=</m:t>
          </m:r>
          <m:sSup>
            <m:e>
              <m:r>
                <m:t>D</m:t>
              </m:r>
            </m:e>
            <m:sup>
              <m:r>
                <m:rPr>
                  <m:sty m:val="p"/>
                </m:rPr>
                <m:t>⊤</m:t>
              </m:r>
            </m:sup>
          </m:sSup>
          <m:limLow>
            <m:e>
              <m:r>
                <m:t>y</m:t>
              </m:r>
            </m:e>
            <m:lim>
              <m:r>
                <m:rPr>
                  <m:sty m:val="p"/>
                </m:rPr>
                <m:t>∼</m:t>
              </m:r>
            </m:lim>
          </m:limLow>
        </m:oMath>
      </m:oMathPara>
    </w:p>
    <w:p>
      <w:pPr>
        <w:pStyle w:val="FirstParagraph"/>
      </w:pPr>
      <w:r>
        <w:t xml:space="preserve">In the ❌ version the result sits in the middle of a line, where the reader can miss it.</w:t>
      </w:r>
      <w:r>
        <w:t xml:space="preserve"> </w:t>
      </w:r>
      <w:r>
        <w:t xml:space="preserve">The ✅ version gives it a line of its own.</w:t>
      </w:r>
    </w:p>
    <w:bookmarkEnd w:id="31"/>
    <w:bookmarkEnd w:id="32"/>
    <w:bookmarkStart w:id="33" w:name="Xa3cf6e4bc6fc8e3d4315c77eaadbd0b034cebd2"/>
    <w:p>
      <w:pPr>
        <w:pStyle w:val="Heading1"/>
      </w:pPr>
      <w:r>
        <w:t xml:space="preserve">4. Write numbers according to how they are used</w:t>
      </w:r>
    </w:p>
    <w:p>
      <w:pPr>
        <w:pStyle w:val="FirstParagraph"/>
      </w:pPr>
      <w:r>
        <w:t xml:space="preserve">Spell out a small number when it is an adjective:</w:t>
      </w:r>
      <w:r>
        <w:t xml:space="preserve"> </w:t>
      </w:r>
      <w:r>
        <w:t xml:space="preserve">“the proof uses three lemmas”</w:t>
      </w:r>
      <w:r>
        <w:t xml:space="preserve">.</w:t>
      </w:r>
      <w:r>
        <w:t xml:space="preserve"> </w:t>
      </w:r>
      <w:r>
        <w:t xml:space="preserve">Write the numeral when the number is a name or a value:</w:t>
      </w:r>
      <w:r>
        <w:t xml:space="preserve"> </w:t>
      </w:r>
      <w:r>
        <w:t xml:space="preserve">“Lemma 3 is used 12 times”</w:t>
      </w:r>
      <w:r>
        <w:t xml:space="preserve">,</w:t>
      </w:r>
      <w:r>
        <w:t xml:space="preserve"> </w:t>
      </w:r>
      <w:r>
        <w:t xml:space="preserve">“the total rose by 4”</w:t>
      </w:r>
      <w:r>
        <w:t xml:space="preserve">.</w:t>
      </w:r>
      <w:r>
        <w:t xml:space="preserve"> </w:t>
      </w:r>
      <w:r>
        <w:t xml:space="preserve">Capitalize the name of a numbered result, as in</w:t>
      </w:r>
      <w:r>
        <w:t xml:space="preserve"> </w:t>
      </w:r>
      <w:r>
        <w:t xml:space="preserve">“Theorem 1”</w:t>
      </w:r>
      <w:r>
        <w:t xml:space="preserve"> </w:t>
      </w:r>
      <w:r>
        <w:t xml:space="preserve">and</w:t>
      </w:r>
      <w:r>
        <w:t xml:space="preserve"> </w:t>
      </w:r>
      <w:r>
        <w:t xml:space="preserve">“Lemma 2”</w:t>
      </w:r>
      <w:r>
        <w:t xml:space="preserve">.</w:t>
      </w:r>
    </w:p>
    <w:bookmarkEnd w:id="33"/>
    <w:bookmarkStart w:id="34" w:name="keep-subscripts-under-control"/>
    <w:p>
      <w:pPr>
        <w:pStyle w:val="Heading1"/>
      </w:pPr>
      <w:r>
        <w:t xml:space="preserve">5. Keep subscripts under control</w:t>
      </w:r>
    </w:p>
    <w:p>
      <w:pPr>
        <w:pStyle w:val="FirstParagraph"/>
      </w:pPr>
      <w:r>
        <w:t xml:space="preserve">Do not name the elements of a set unless you need to.</w:t>
      </w:r>
      <w:r>
        <w:t xml:space="preserve"> </w:t>
      </w:r>
      <w:r>
        <w:t xml:space="preserve">If you write</w:t>
      </w:r>
      <w:r>
        <w:t xml:space="preserve"> </w:t>
      </w:r>
      <w:r>
        <w:t xml:space="preserve">“Let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{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}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you will need</w:t>
      </w:r>
      <w:r>
        <w:t xml:space="preserve"> </w:t>
      </w:r>
      <m:oMath>
        <m:sSub>
          <m:e>
            <m:r>
              <m:t>x</m:t>
            </m:r>
          </m:e>
          <m:sub>
            <m:sSub>
              <m:e>
                <m:r>
                  <m:t>i</m:t>
                </m:r>
              </m:e>
              <m:sub>
                <m:r>
                  <m:t>1</m:t>
                </m:r>
              </m:sub>
            </m:sSub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sSub>
              <m:e>
                <m:r>
                  <m:t>i</m:t>
                </m:r>
              </m:e>
              <m:sub>
                <m:r>
                  <m:t>m</m:t>
                </m:r>
              </m:sub>
            </m:sSub>
          </m:sub>
        </m:sSub>
      </m:oMath>
      <w:r>
        <w:t xml:space="preserve"> </w:t>
      </w:r>
      <w:r>
        <w:t xml:space="preserve">as soon as you take a subset 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A subscript on a subscript is hard to read.</w:t>
      </w:r>
      <w:r>
        <w:t xml:space="preserve"> </w:t>
      </w:r>
      <w:r>
        <w:t xml:space="preserve">Write</w:t>
      </w:r>
      <w:r>
        <w:t xml:space="preserve"> </w:t>
      </w:r>
      <w:r>
        <w:t xml:space="preserve">“an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”</w:t>
      </w:r>
      <w:r>
        <w:t xml:space="preserve"> </w:t>
      </w:r>
      <w:r>
        <w:t xml:space="preserve">instead,</w:t>
      </w:r>
      <w:r>
        <w:t xml:space="preserve"> </w:t>
      </w:r>
      <w:r>
        <w:t xml:space="preserve">and refer to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for two elements.</w:t>
      </w:r>
      <w:r>
        <w:t xml:space="preserve"> </w:t>
      </w:r>
      <w:r>
        <w:t xml:space="preserve">Use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only when you need two specified elements.</w:t>
      </w:r>
    </w:p>
    <w:bookmarkEnd w:id="34"/>
    <w:bookmarkStart w:id="35" w:name="choose-the-voice-and-the-person"/>
    <w:p>
      <w:pPr>
        <w:pStyle w:val="Heading1"/>
      </w:pPr>
      <w:r>
        <w:t xml:space="preserve">6. Choose the voice and the person</w:t>
      </w:r>
    </w:p>
    <w:p>
      <w:pPr>
        <w:pStyle w:val="FirstParagraph"/>
      </w:pPr>
      <w:r>
        <w:t xml:space="preserve">Use</w:t>
      </w:r>
      <w:r>
        <w:t xml:space="preserve"> </w:t>
      </w:r>
      <w:r>
        <w:t xml:space="preserve">“we”</w:t>
      </w:r>
      <w:r>
        <w:t xml:space="preserve"> </w:t>
      </w:r>
      <w:r>
        <w:t xml:space="preserve">to mean the author and the reader together,</w:t>
      </w:r>
      <w:r>
        <w:t xml:space="preserve"> </w:t>
      </w:r>
      <w:r>
        <w:t xml:space="preserve">as in</w:t>
      </w:r>
      <w:r>
        <w:t xml:space="preserve"> </w:t>
      </w:r>
      <w:r>
        <w:t xml:space="preserve">“we can now prove”</w:t>
      </w:r>
      <w:r>
        <w:t xml:space="preserve">.</w:t>
      </w:r>
      <w:r>
        <w:t xml:space="preserve"> </w:t>
      </w:r>
      <w:r>
        <w:t xml:space="preserve">Write</w:t>
      </w:r>
      <w:r>
        <w:t xml:space="preserve"> </w:t>
      </w:r>
      <w:r>
        <w:t xml:space="preserve">“we prove”</w:t>
      </w:r>
      <w:r>
        <w:t xml:space="preserve">, not the passive</w:t>
      </w:r>
      <w:r>
        <w:t xml:space="preserve"> </w:t>
      </w:r>
      <w:r>
        <w:t xml:space="preserve">“it can be proved”</w:t>
      </w:r>
      <w:r>
        <w:t xml:space="preserve">.</w:t>
      </w:r>
      <w:r>
        <w:t xml:space="preserve"> </w:t>
      </w:r>
      <w:r>
        <w:t xml:space="preserve">Avoid</w:t>
      </w:r>
      <w:r>
        <w:t xml:space="preserve"> </w:t>
      </w:r>
      <w:r>
        <w:t xml:space="preserve">“I”</w:t>
      </w:r>
      <w:r>
        <w:t xml:space="preserve"> </w:t>
      </w:r>
      <w:r>
        <w:t xml:space="preserve">unless the author’s persona is relevant.</w:t>
      </w:r>
    </w:p>
    <w:p>
      <w:pPr>
        <w:pStyle w:val="BodyText"/>
      </w:pPr>
      <w:r>
        <w:t xml:space="preserve">Write</w:t>
      </w:r>
      <w:r>
        <w:t xml:space="preserve"> </w:t>
      </w:r>
      <w:r>
        <w:t xml:space="preserve">“assume that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finite”</w:t>
      </w:r>
      <w:r>
        <w:t xml:space="preserve">, not</w:t>
      </w:r>
      <w:r>
        <w:t xml:space="preserve"> </w:t>
      </w:r>
      <w:r>
        <w:t xml:space="preserve">“assume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finite”</w:t>
      </w:r>
      <w:r>
        <w:t xml:space="preserve">.</w:t>
      </w:r>
      <w:r>
        <w:t xml:space="preserve"> </w:t>
      </w:r>
      <w:r>
        <w:t xml:space="preserve">The word</w:t>
      </w:r>
      <w:r>
        <w:t xml:space="preserve"> </w:t>
      </w:r>
      <w:r>
        <w:t xml:space="preserve">“that”</w:t>
      </w:r>
      <w:r>
        <w:t xml:space="preserve"> </w:t>
      </w:r>
      <w:r>
        <w:t xml:space="preserve">helps the reader parse the sentence.</w:t>
      </w:r>
      <w:r>
        <w:t xml:space="preserve"> </w:t>
      </w:r>
      <w:r>
        <w:t xml:space="preserve">Do not write</w:t>
      </w:r>
      <w:r>
        <w:t xml:space="preserve"> </w:t>
      </w:r>
      <w:r>
        <w:t xml:space="preserve">“we have that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z</m:t>
        </m:r>
      </m:oMath>
      <w:r>
        <w:t xml:space="preserve">”</w:t>
      </w:r>
      <w:r>
        <w:t xml:space="preserve">; write</w:t>
      </w:r>
      <w:r>
        <w:t xml:space="preserve"> </w:t>
      </w:r>
      <w:r>
        <w:t xml:space="preserve">“we have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z</m:t>
        </m:r>
      </m:oMath>
      <w:r>
        <w:t xml:space="preserve">”</w:t>
      </w:r>
      <w:r>
        <w:t xml:space="preserve">.</w:t>
      </w:r>
    </w:p>
    <w:bookmarkEnd w:id="35"/>
    <w:bookmarkStart w:id="36" w:name="choose-the-proof-that-fits-the-claim"/>
    <w:p>
      <w:pPr>
        <w:pStyle w:val="Heading1"/>
      </w:pPr>
      <w:r>
        <w:t xml:space="preserve">7. Choose the proof that fits the claim</w:t>
      </w:r>
    </w:p>
    <w:p>
      <w:pPr>
        <w:pStyle w:val="FirstParagraph"/>
      </w:pPr>
      <w:r>
        <w:t xml:space="preserve">Do not use proof by contradiction where a direct proof will do.</w:t>
      </w:r>
      <w:r>
        <w:t xml:space="preserve"> </w:t>
      </w:r>
      <w:r>
        <w:t xml:space="preserve">The course’s worked example proves a lemma both ways.</w:t>
      </w:r>
      <w:r>
        <w:t xml:space="preserve"> </w:t>
      </w:r>
      <w:r>
        <w:t xml:space="preserve">The direct proof is shorter,</w:t>
      </w:r>
      <w:r>
        <w:t xml:space="preserve"> </w:t>
      </w:r>
      <w:r>
        <w:t xml:space="preserve">and it does not assume that the entries are integers or restate their ordering.</w:t>
      </w:r>
    </w:p>
    <w:bookmarkEnd w:id="36"/>
    <w:bookmarkStart w:id="40" w:name="cite-results-not-solutions"/>
    <w:p>
      <w:pPr>
        <w:pStyle w:val="Heading1"/>
      </w:pPr>
      <w:r>
        <w:t xml:space="preserve">8. Cite results, not solutions</w:t>
      </w:r>
    </w:p>
    <w:p>
      <w:pPr>
        <w:pStyle w:val="FirstParagraph"/>
      </w:pPr>
      <w:r>
        <w:t xml:space="preserve">A proof, or any derivation that supports a result, never cites a solution to an exercise.</w:t>
      </w:r>
      <w:r>
        <w:t xml:space="preserve"> </w:t>
      </w:r>
      <w:r>
        <w:t xml:space="preserve">A solution answers an exercise for the reader who attempted the exercise,</w:t>
      </w:r>
      <w:r>
        <w:t xml:space="preserve"> </w:t>
      </w:r>
      <w:r>
        <w:t xml:space="preserve">so the solution is not a result that other arguments can build on.</w:t>
      </w:r>
      <w:r>
        <w:t xml:space="preserve"> </w:t>
      </w:r>
      <w:r>
        <w:t xml:space="preserve">Follow each solution that contains a reusable result with a result div (a theorem, lemma, corollary or proposition) that states the claim.</w:t>
      </w:r>
      <w:r>
        <w:t xml:space="preserve"> </w:t>
      </w:r>
      <w:r>
        <w:t xml:space="preserve">The test is whether the solution contains a result that other arguments could use,</w:t>
      </w:r>
      <w:r>
        <w:t xml:space="preserve"> </w:t>
      </w:r>
      <w:r>
        <w:t xml:space="preserve">not whether any later argument currently relies on it.</w:t>
      </w:r>
      <w:r>
        <w:t xml:space="preserve"> </w:t>
      </w:r>
      <w:r>
        <w:t xml:space="preserve">Cite that result div in every argument that uses the claim.</w:t>
      </w:r>
    </w:p>
    <w:bookmarkStart w:id="37" w:name="exm-cite-results"/>
    <w:p>
      <w:pPr>
        <w:pStyle w:val="BodyText"/>
      </w:pPr>
      <w:r>
        <w:rPr>
          <w:b/>
          <w:bCs/>
        </w:rPr>
        <w:t xml:space="preserve">Example 7 (Citing a result div)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</w:t>
      </w:r>
      <w:r>
        <w:t xml:space="preserve"> </w:t>
      </w:r>
      <w:r>
        <w:rPr>
          <w:b/>
          <w:bCs/>
        </w:rPr>
        <w:t xml:space="preserve">Proof.</w:t>
      </w:r>
      <w:r>
        <w:t xml:space="preserve"> </w:t>
      </w:r>
      <w:r>
        <w:t xml:space="preserve">By Solution 9 and Solution 10, the claim holds.</w:t>
      </w:r>
    </w:p>
    <w:p>
      <w:pPr>
        <w:pStyle w:val="BlockText"/>
      </w:pPr>
      <w:r>
        <w:t xml:space="preserve">✅</w:t>
      </w:r>
      <w:r>
        <w:t xml:space="preserve"> </w:t>
      </w:r>
      <w:r>
        <w:rPr>
          <w:b/>
          <w:bCs/>
        </w:rPr>
        <w:t xml:space="preserve">Proof.</w:t>
      </w:r>
      <w:r>
        <w:t xml:space="preserve"> </w:t>
      </w:r>
      <w:r>
        <w:t xml:space="preserve">By Lemma 4 and Lemma 5, the claim holds.</w:t>
      </w:r>
    </w:p>
    <w:p>
      <w:pPr>
        <w:pStyle w:val="FirstParagraph"/>
      </w:pPr>
      <w:r>
        <w:t xml:space="preserve">The ❌ version sends the reader to answers that the notes may reorder, hide or drop.</w:t>
      </w:r>
      <w:r>
        <w:t xml:space="preserve"> </w:t>
      </w:r>
      <w:r>
        <w:t xml:space="preserve">The ✅ version cites claims that the notes state, number and keep.</w:t>
      </w:r>
    </w:p>
    <w:bookmarkEnd w:id="37"/>
    <w:p>
      <w:pPr>
        <w:pStyle w:val="BodyText"/>
      </w:pPr>
      <w:r>
        <w:t xml:space="preserve">Add an exercise and its solution just before every result div that you add or edit.</w:t>
      </w:r>
      <w:r>
        <w:t xml:space="preserve"> </w:t>
      </w:r>
      <w:r>
        <w:t xml:space="preserve">The exercise does not state the result.</w:t>
      </w:r>
      <w:r>
        <w:t xml:space="preserve"> </w:t>
      </w:r>
      <w:r>
        <w:t xml:space="preserve">It asks the student to find the result, such as</w:t>
      </w:r>
      <w:r>
        <w:t xml:space="preserve"> </w:t>
      </w:r>
      <w:r>
        <w:t xml:space="preserve">“find an expression for the spread of a random variable using its first two moments”</w:t>
      </w:r>
      <w:r>
        <w:t xml:space="preserve">,</w:t>
      </w:r>
      <w:r>
        <w:t xml:space="preserve"> </w:t>
      </w:r>
      <w:r>
        <w:t xml:space="preserve">so that the reader discovers the result,</w:t>
      </w:r>
      <w:r>
        <w:t xml:space="preserve"> </w:t>
      </w:r>
      <w:r>
        <w:t xml:space="preserve">and the result div then states what the solution showed.</w:t>
      </w:r>
      <w:r>
        <w:t xml:space="preserve"> </w:t>
      </w:r>
      <w:r>
        <w:t xml:space="preserve">Every later argument cites the result div.</w:t>
      </w:r>
    </w:p>
    <w:p>
      <w:pPr>
        <w:pStyle w:val="BodyText"/>
      </w:pPr>
      <w:r>
        <w:t xml:space="preserve">The one exception to the citation rule follows from that pairing:</w:t>
      </w:r>
      <w:r>
        <w:t xml:space="preserve"> </w:t>
      </w:r>
      <w:r>
        <w:t xml:space="preserve">the proof of the result itself may cite the solution of the exercise that asks for that same result.</w:t>
      </w:r>
      <w:r>
        <w:t xml:space="preserve"> </w:t>
      </w:r>
      <w:r>
        <w:t xml:space="preserve">Such a proof does no derivation of its own: it is the one line</w:t>
      </w:r>
      <w:r>
        <w:t xml:space="preserve"> </w:t>
      </w:r>
      <w:r>
        <w:rPr>
          <w:rStyle w:val="VerbatimChar"/>
        </w:rPr>
        <w:t xml:space="preserve">By @sol-x.</w:t>
      </w:r>
      <w:r>
        <w:t xml:space="preserve">, with one citation.</w:t>
      </w:r>
      <w:r>
        <w:t xml:space="preserve"> </w:t>
      </w:r>
      <w:r>
        <w:t xml:space="preserve">This is the one place where a proof cites a solution.</w:t>
      </w:r>
      <w:r>
        <w:t xml:space="preserve"> </w:t>
      </w:r>
      <w:hyperlink r:id="rId38">
        <w:r>
          <w:rPr>
            <w:rStyle w:val="Hyperlink"/>
          </w:rPr>
          <w:t xml:space="preserve">Derivation format</w:t>
        </w:r>
      </w:hyperlink>
      <w:r>
        <w:t xml:space="preserve"> </w:t>
      </w:r>
      <w:r>
        <w:t xml:space="preserve">describes the exercise, solution, theorem and proof pattern.</w:t>
      </w:r>
      <w:r>
        <w:t xml:space="preserve"> </w:t>
      </w:r>
      <w:r>
        <w:t xml:space="preserve">When the exercise has several parts, the line may cite each part, as in the line</w:t>
      </w:r>
      <w:r>
        <w:t xml:space="preserve"> </w:t>
      </w:r>
      <w:r>
        <w:rPr>
          <w:rStyle w:val="VerbatimChar"/>
        </w:rPr>
        <w:t xml:space="preserve">By @sol-x and @sol-x-part2.</w:t>
      </w:r>
      <w:r>
        <w:t xml:space="preserve">, which ends in a period.</w:t>
      </w:r>
      <w:r>
        <w:t xml:space="preserve"> </w:t>
      </w:r>
      <w:r>
        <w:t xml:space="preserve">A proof with its own steps or display math cites result divs instead.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check-solution-citations</w:t>
      </w:r>
      <w:r>
        <w:t xml:space="preserve"> </w:t>
      </w:r>
      <w:r>
        <w:t xml:space="preserve">workflow in</w:t>
      </w:r>
      <w:r>
        <w:t xml:space="preserve"> </w:t>
      </w:r>
      <w:hyperlink r:id="rId39">
        <w:r>
          <w:rPr>
            <w:rStyle w:val="VerbatimChar"/>
          </w:rPr>
          <w:t xml:space="preserve">Morrison-Lab/gha</w:t>
        </w:r>
      </w:hyperlink>
      <w:r>
        <w:t xml:space="preserve"> </w:t>
      </w:r>
      <w:r>
        <w:t xml:space="preserve">flags a</w:t>
      </w:r>
      <w:r>
        <w:t xml:space="preserve"> </w:t>
      </w:r>
      <w:r>
        <w:rPr>
          <w:rStyle w:val="VerbatimChar"/>
        </w:rPr>
        <w:t xml:space="preserve">@sol-</w:t>
      </w:r>
      <w:r>
        <w:t xml:space="preserve"> </w:t>
      </w:r>
      <w:r>
        <w:t xml:space="preserve">cross-reference inside a proof or result div.</w:t>
      </w:r>
      <w:r>
        <w:t xml:space="preserve"> </w:t>
      </w:r>
      <w:r>
        <w:t xml:space="preserve">It lets a one-line proof with one citation pass.</w:t>
      </w:r>
      <w:r>
        <w:t xml:space="preserve"> </w:t>
      </w:r>
      <w:r>
        <w:t xml:space="preserve">For a one-line proof that cites several parts of the paired solution, the HTML comment</w:t>
      </w:r>
      <w:r>
        <w:t xml:space="preserve"> </w:t>
      </w:r>
      <w:r>
        <w:rPr>
          <w:rStyle w:val="VerbatimChar"/>
        </w:rPr>
        <w:t xml:space="preserve">&lt;!-- check-solution-citations: allow --&gt;</w:t>
      </w:r>
      <w:r>
        <w:t xml:space="preserve"> </w:t>
      </w:r>
      <w:r>
        <w:t xml:space="preserve">on that line tells the workflow to skip that line.</w:t>
      </w:r>
      <w:r>
        <w:t xml:space="preserve"> </w:t>
      </w:r>
      <w:r>
        <w:t xml:space="preserve">Quarto removes the comment from the rendered page.</w:t>
      </w:r>
      <w:r>
        <w:t xml:space="preserve"> </w:t>
      </w:r>
      <w:r>
        <w:t xml:space="preserve">The workflow does not check prose outside proof and result divs, but the rule still applies there.</w:t>
      </w:r>
    </w:p>
    <w:bookmarkEnd w:id="40"/>
    <w:bookmarkStart w:id="42" w:name="keep-each-div-minimal-cite-never-inline"/>
    <w:p>
      <w:pPr>
        <w:pStyle w:val="Heading1"/>
      </w:pPr>
      <w:r>
        <w:t xml:space="preserve">9. Keep each div minimal: cite, never inline</w:t>
      </w:r>
    </w:p>
    <w:p>
      <w:pPr>
        <w:pStyle w:val="FirstParagraph"/>
      </w:pPr>
      <w:r>
        <w:t xml:space="preserve">Every result div states one result and every solution div answers one exercise, and each does no more.</w:t>
      </w:r>
      <w:r>
        <w:t xml:space="preserve"> </w:t>
      </w:r>
      <w:r>
        <w:t xml:space="preserve">When a proof or a solution needs a step that a reader could use elsewhere, state that step as its own result div, preceded by its exercise and solution, and cite that result div.</w:t>
      </w:r>
      <w:r>
        <w:t xml:space="preserve"> </w:t>
      </w:r>
      <w:r>
        <w:t xml:space="preserve">Never derive the step inline.</w:t>
      </w:r>
      <w:r>
        <w:t xml:space="preserve"> </w:t>
      </w:r>
      <w:r>
        <w:t xml:space="preserve">A solution decomposes the same way: each solution is the smallest argument that answers its exercise, and it cites result divs for the steps that other arguments also use.</w:t>
      </w:r>
    </w:p>
    <w:bookmarkStart w:id="41" w:name="exm-never-inline"/>
    <w:p>
      <w:pPr>
        <w:pStyle w:val="BodyText"/>
      </w:pPr>
      <w:r>
        <w:rPr>
          <w:b/>
          <w:bCs/>
        </w:rPr>
        <w:t xml:space="preserve">Example 8 (Citing a step instead of deriving it)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</w:t>
      </w:r>
      <w:r>
        <w:t xml:space="preserve"> </w:t>
      </w:r>
      <w:r>
        <w:rPr>
          <w:b/>
          <w:bCs/>
        </w:rPr>
        <w:t xml:space="preserve">Proof.</w:t>
      </w:r>
      <w:r>
        <w:t xml:space="preserve"> </w:t>
      </w:r>
      <w:r>
        <w:t xml:space="preserve">By the chain rule, the gradient of each summand is</w:t>
      </w:r>
      <w:r>
        <w:t xml:space="preserve"> </w:t>
      </w:r>
      <m:oMath>
        <m:r>
          <m:t>2</m:t>
        </m:r>
        <m:sSub>
          <m:e>
            <m:acc>
              <m:accPr>
                <m:chr m:val="̂"/>
              </m:accPr>
              <m:e>
                <m:r>
                  <m:t>ε</m:t>
                </m:r>
              </m:e>
            </m:acc>
          </m:e>
          <m:sub>
            <m:r>
              <m:t>i</m:t>
            </m:r>
          </m:sub>
        </m:sSub>
        <m:limLow>
          <m:e>
            <m:r>
              <m:t>D</m:t>
            </m:r>
          </m:e>
          <m:lim>
            <m:r>
              <m:rPr>
                <m:sty m:val="p"/>
              </m:rPr>
              <m:t>∼</m:t>
            </m:r>
          </m:lim>
        </m:limLow>
        <m:r>
          <m:rPr>
            <m:sty m:val="p"/>
          </m:rPr>
          <m:t>(</m:t>
        </m:r>
        <m:sSub>
          <m:e>
            <m:limLow>
              <m:e>
                <m:r>
                  <m:t>x</m:t>
                </m:r>
              </m:e>
              <m:lim>
                <m:r>
                  <m:rPr>
                    <m:sty m:val="p"/>
                  </m:rPr>
                  <m:t>∼</m:t>
                </m:r>
              </m:lim>
            </m:limLow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, where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ε</m:t>
                </m:r>
              </m:e>
            </m:acc>
          </m:e>
          <m:sub>
            <m:r>
              <m:t>i</m:t>
            </m:r>
          </m:sub>
        </m:sSub>
      </m:oMath>
      <w:r>
        <w:t xml:space="preserve"> </w:t>
      </w:r>
      <w:r>
        <w:t xml:space="preserve">is the residual and</w:t>
      </w:r>
      <w:r>
        <w:t xml:space="preserve"> </w:t>
      </w:r>
      <m:oMath>
        <m:limLow>
          <m:e>
            <m:r>
              <m:t>D</m:t>
            </m:r>
          </m:e>
          <m:lim>
            <m:r>
              <m:rPr>
                <m:sty m:val="p"/>
              </m:rPr>
              <m:t>∼</m:t>
            </m:r>
          </m:lim>
        </m:limLow>
        <m:r>
          <m:rPr>
            <m:sty m:val="p"/>
          </m:rPr>
          <m:t>(</m:t>
        </m:r>
        <m:sSub>
          <m:e>
            <m:limLow>
              <m:e>
                <m:r>
                  <m:t>x</m:t>
                </m:r>
              </m:e>
              <m:lim>
                <m:r>
                  <m:rPr>
                    <m:sty m:val="p"/>
                  </m:rPr>
                  <m:t>∼</m:t>
                </m:r>
              </m:lim>
            </m:limLow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the design vector, and summing over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gives the claim.</w:t>
      </w:r>
    </w:p>
    <w:p>
      <w:pPr>
        <w:pStyle w:val="BlockText"/>
      </w:pPr>
      <w:r>
        <w:t xml:space="preserve">✅</w:t>
      </w:r>
      <w:r>
        <w:t xml:space="preserve"> </w:t>
      </w:r>
      <w:r>
        <w:rPr>
          <w:b/>
          <w:bCs/>
        </w:rPr>
        <w:t xml:space="preserve">Proof.</w:t>
      </w:r>
      <w:r>
        <w:t xml:space="preserve"> </w:t>
      </w:r>
      <w:r>
        <w:t xml:space="preserve">Lemma 4 gives the gradient of each summand,</w:t>
      </w:r>
      <w:r>
        <w:t xml:space="preserve"> </w:t>
      </w:r>
      <w:r>
        <w:t xml:space="preserve">and Lemma 5 says that the gradient of a sum is the sum of the gradients,</w:t>
      </w:r>
      <w:r>
        <w:t xml:space="preserve"> </w:t>
      </w:r>
      <w:r>
        <w:t xml:space="preserve">so the gradient of the total is the sum of</w:t>
      </w:r>
      <w:r>
        <w:t xml:space="preserve"> </w:t>
      </w:r>
      <m:oMath>
        <m:r>
          <m:t>2</m:t>
        </m:r>
        <m:sSub>
          <m:e>
            <m:acc>
              <m:accPr>
                <m:chr m:val="̂"/>
              </m:accPr>
              <m:e>
                <m:r>
                  <m:t>ε</m:t>
                </m:r>
              </m:e>
            </m:acc>
          </m:e>
          <m:sub>
            <m:r>
              <m:t>i</m:t>
            </m:r>
          </m:sub>
        </m:sSub>
        <m:limLow>
          <m:e>
            <m:r>
              <m:t>D</m:t>
            </m:r>
          </m:e>
          <m:lim>
            <m:r>
              <m:rPr>
                <m:sty m:val="p"/>
              </m:rPr>
              <m:t>∼</m:t>
            </m:r>
          </m:lim>
        </m:limLow>
        <m:r>
          <m:rPr>
            <m:sty m:val="p"/>
          </m:rPr>
          <m:t>(</m:t>
        </m:r>
        <m:sSub>
          <m:e>
            <m:limLow>
              <m:e>
                <m:r>
                  <m:t>x</m:t>
                </m:r>
              </m:e>
              <m:lim>
                <m:r>
                  <m:rPr>
                    <m:sty m:val="p"/>
                  </m:rPr>
                  <m:t>∼</m:t>
                </m:r>
              </m:lim>
            </m:limLow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pStyle w:val="FirstParagraph"/>
      </w:pPr>
      <w:r>
        <w:t xml:space="preserve">The ❌ proof derives inline the result that Lemma 4 states, so a reader who needs that step elsewhere has nowhere to cite.</w:t>
      </w:r>
    </w:p>
    <w:bookmarkEnd w:id="41"/>
    <w:p>
      <w:pPr>
        <w:pStyle w:val="BodyText"/>
      </w:pPr>
      <w:r>
        <w:t xml:space="preserve">No div repeats reasoning that it could cite instead.</w:t>
      </w:r>
      <w:r>
        <w:t xml:space="preserve"> </w:t>
      </w:r>
      <w:r>
        <w:t xml:space="preserve">Two arguments that share a step cite one result div, so a correction to the step is made once.</w:t>
      </w:r>
    </w:p>
    <w:p>
      <w:pPr>
        <w:pStyle w:val="BodyText"/>
      </w:pPr>
      <w:r>
        <w:t xml:space="preserve">No check can decide whether a step is reusable, so this rule stays a writing rule that review enforces.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check-solution-citations</w:t>
      </w:r>
      <w:r>
        <w:t xml:space="preserve"> </w:t>
      </w:r>
      <w:r>
        <w:t xml:space="preserve">workflow covers only the citation of solutions.</w:t>
      </w:r>
    </w:p>
    <w:bookmarkEnd w:id="42"/>
    <w:bookmarkStart w:id="48" w:name="Xd2b1f08161d44443d3d9c5e89d9ddf68e118cc1"/>
    <w:p>
      <w:pPr>
        <w:pStyle w:val="Heading1"/>
      </w:pPr>
      <w:r>
        <w:t xml:space="preserve">10. Use no symbol that the statement does not need</w:t>
      </w:r>
    </w:p>
    <w:p>
      <w:pPr>
        <w:pStyle w:val="FirstParagraph"/>
      </w:pPr>
      <w:r>
        <w:t xml:space="preserve">Halmos advises</w:t>
      </w:r>
      <w:r>
        <w:t xml:space="preserve"> </w:t>
      </w:r>
      <w:r>
        <w:t xml:space="preserve">“avoid the use of irrelevant symbols”</w:t>
      </w:r>
      <w:r>
        <w:t xml:space="preserve"> </w:t>
      </w:r>
      <w:r>
        <w:t xml:space="preserve">and states the rule in its showy form as</w:t>
      </w:r>
      <w:r>
        <w:t xml:space="preserve"> </w:t>
      </w:r>
      <w:r>
        <w:t xml:space="preserve">“use no letter only once”</w:t>
      </w:r>
      <w:r>
        <w:t xml:space="preserve"> </w:t>
      </w:r>
      <w:r>
        <w:t xml:space="preserve">(Halmos 1970, sec. 15)</w:t>
      </w:r>
      <w:r>
        <w:t xml:space="preserve">.</w:t>
      </w:r>
      <w:r>
        <w:t xml:space="preserve"> </w:t>
      </w:r>
      <w:r>
        <w:t xml:space="preserve">A symbol that appears once, in the sentence that introduces it,</w:t>
      </w:r>
      <w:r>
        <w:t xml:space="preserve"> </w:t>
      </w:r>
      <w:r>
        <w:t xml:space="preserve">adds a name for the reader to hold and nothing to use it for.</w:t>
      </w:r>
      <w:r>
        <w:t xml:space="preserve"> </w:t>
      </w:r>
      <w:r>
        <w:t xml:space="preserve">Delete the symbol, or use it in the statement that needs it.</w:t>
      </w:r>
    </w:p>
    <w:bookmarkStart w:id="44" w:name="exm-superfluous-symbol"/>
    <w:p>
      <w:pPr>
        <w:pStyle w:val="BodyText"/>
      </w:pPr>
      <w:r>
        <w:rPr>
          <w:b/>
          <w:bCs/>
        </w:rPr>
        <w:t xml:space="preserve">Example 9 (Deleting a symbol that is named and never used)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Every continuous real-valued</w:t>
      </w:r>
      <w:r>
        <w:t xml:space="preserve"> </w:t>
      </w:r>
      <w:hyperlink r:id="rId43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</m:oMath>
      <w:r>
        <w:t xml:space="preserve"> </w:t>
      </w:r>
      <w:r>
        <w:t xml:space="preserve">on a compact space is bounded.</w:t>
      </w:r>
    </w:p>
    <w:p>
      <w:pPr>
        <w:pStyle w:val="BlockText"/>
      </w:pPr>
      <w:r>
        <w:t xml:space="preserve">✅ Every continuous real-valued function on a compact space is bounded.</w:t>
      </w:r>
    </w:p>
    <w:p>
      <w:pPr>
        <w:pStyle w:val="FirstParagraph"/>
      </w:pPr>
      <w:r>
        <w:t xml:space="preserve">Nothing in the sentence refers to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again,</w:t>
      </w:r>
      <w:r>
        <w:t xml:space="preserve"> </w:t>
      </w:r>
      <w:r>
        <w:t xml:space="preserve">so the symbol contributes nothing to the statement.</w:t>
      </w:r>
      <w:r>
        <w:t xml:space="preserve"> </w:t>
      </w:r>
      <w:r>
        <w:t xml:space="preserve">Halmos gives this sentence as his example</w:t>
      </w:r>
      <w:r>
        <w:t xml:space="preserve"> </w:t>
      </w:r>
      <w:r>
        <w:t xml:space="preserve">(Halmos 1970, sec. 15)</w:t>
      </w:r>
      <w:r>
        <w:t xml:space="preserve">.</w:t>
      </w:r>
    </w:p>
    <w:bookmarkEnd w:id="44"/>
    <w:p>
      <w:pPr>
        <w:pStyle w:val="BodyText"/>
      </w:pPr>
      <w:r>
        <w:t xml:space="preserve">When you apply a displayed relation to a second object, name the relation or restate it, rather than citing its tag.</w:t>
      </w:r>
      <w:r>
        <w:t xml:space="preserve"> </w:t>
      </w:r>
      <w:r>
        <w:t xml:space="preserve">Halmos calls</w:t>
      </w:r>
      <w:r>
        <w:t xml:space="preserve"> </w:t>
      </w:r>
      <w:r>
        <w:t xml:space="preserve">“</w:t>
      </w:r>
      <m:oMath>
        <m:r>
          <m:t>g</m:t>
        </m:r>
      </m:oMath>
      <w:r>
        <w:t xml:space="preserve"> </w:t>
      </w:r>
      <w:r>
        <w:t xml:space="preserve">also satisfies (</w:t>
      </w:r>
      <w:r>
        <w:rPr>
          <w:i/>
          <w:iCs/>
        </w:rPr>
        <w:t xml:space="preserve">)” ”logical and alphabetical nonsense”</w:t>
      </w:r>
      <w:r>
        <w:rPr>
          <w:i/>
          <w:iCs/>
        </w:rPr>
        <w:t xml:space="preserve"> </w:t>
      </w:r>
      <w:r>
        <w:rPr>
          <w:i/>
          <w:iCs/>
        </w:rPr>
        <w:t xml:space="preserve">and advises ”(</w:t>
      </w:r>
      <w:r>
        <w:t xml:space="preserve">) remains satisfied 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replaced by</w:t>
      </w:r>
      <w:r>
        <w:t xml:space="preserve"> </w:t>
      </w:r>
      <m:oMath>
        <m:r>
          <m:t>g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or, better, giving the relation a name</w:t>
      </w:r>
      <w:r>
        <w:t xml:space="preserve"> </w:t>
      </w:r>
      <w:r>
        <w:t xml:space="preserve">(Halmos 1970, sec. 15)</w:t>
      </w:r>
      <w:r>
        <w:t xml:space="preserve">.</w:t>
      </w:r>
      <w:r>
        <w:t xml:space="preserve"> </w:t>
      </w:r>
      <w:r>
        <w:t xml:space="preserve">A named relation also lets the reader find it without hunting for a tag.</w:t>
      </w:r>
    </w:p>
    <w:bookmarkStart w:id="47" w:name="exm-name-the-relation"/>
    <w:p>
      <w:pPr>
        <w:pStyle w:val="BodyText"/>
      </w:pPr>
      <w:r>
        <w:rPr>
          <w:b/>
          <w:bCs/>
        </w:rPr>
        <w:t xml:space="preserve">Example 10 (Naming the relation instead of tagging it)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The</w:t>
      </w:r>
      <w:r>
        <w:t xml:space="preserve"> </w:t>
      </w:r>
      <w:hyperlink r:id="rId45">
        <w:r>
          <w:rPr>
            <w:rStyle w:val="Hyperlink"/>
          </w:rPr>
          <w:t xml:space="preserve">sample mean</w:t>
        </w:r>
      </w:hyperlink>
      <w:r>
        <w:t xml:space="preserve"> </w:t>
      </w:r>
      <w:r>
        <w:t xml:space="preserve">satisfies Equation 3, which says that the estimator’s expected value equals the parameter.</w:t>
      </w:r>
      <w:r>
        <w:t xml:space="preserve"> </w:t>
      </w:r>
      <w:r>
        <w:t xml:space="preserve">The sample</w:t>
      </w:r>
      <w:r>
        <w:t xml:space="preserve"> </w:t>
      </w:r>
      <w:hyperlink r:id="rId46">
        <w:r>
          <w:rPr>
            <w:rStyle w:val="Hyperlink"/>
          </w:rPr>
          <w:t xml:space="preserve">variance</w:t>
        </w:r>
      </w:hyperlink>
      <w:r>
        <w:t xml:space="preserve"> </w:t>
      </w:r>
      <w:r>
        <w:t xml:space="preserve">also satisfies Equation 3.</w:t>
      </w:r>
    </w:p>
    <w:p>
      <w:pPr>
        <w:pStyle w:val="BlockText"/>
      </w:pPr>
      <w:r>
        <w:t xml:space="preserve">✅ The sample mean is an unbiased estimator of the</w:t>
      </w:r>
      <w:r>
        <w:t xml:space="preserve"> </w:t>
      </w:r>
      <w:hyperlink r:id="rId20">
        <w:r>
          <w:rPr>
            <w:rStyle w:val="Hyperlink"/>
          </w:rPr>
          <w:t xml:space="preserve">population</w:t>
        </w:r>
      </w:hyperlink>
      <w:r>
        <w:t xml:space="preserve"> </w:t>
      </w:r>
      <w:r>
        <w:t xml:space="preserve">mean.</w:t>
      </w:r>
      <w:r>
        <w:t xml:space="preserve"> </w:t>
      </w:r>
      <w:r>
        <w:t xml:space="preserve">The sample variance is an unbiased estimator of the population variance.</w:t>
      </w:r>
    </w:p>
    <w:p>
      <w:pPr>
        <w:pStyle w:val="FirstParagraph"/>
      </w:pPr>
      <w:r>
        <w:t xml:space="preserve">In the ❌ version,</w:t>
      </w:r>
      <w:r>
        <w:t xml:space="preserve"> </w:t>
      </w:r>
      <w:r>
        <w:t xml:space="preserve">“also satisfies Equation 3”</w:t>
      </w:r>
      <w:r>
        <w:t xml:space="preserve"> </w:t>
      </w:r>
      <w:r>
        <w:t xml:space="preserve">is a statement about a different parameter,</w:t>
      </w:r>
      <w:r>
        <w:t xml:space="preserve"> </w:t>
      </w:r>
      <w:r>
        <w:t xml:space="preserve">and the equation says nothing about which parameter.</w:t>
      </w:r>
      <w:r>
        <w:t xml:space="preserve"> </w:t>
      </w:r>
      <w:r>
        <w:t xml:space="preserve">The ✅ version names the property,</w:t>
      </w:r>
      <w:r>
        <w:t xml:space="preserve"> </w:t>
      </w:r>
      <w:r>
        <w:t xml:space="preserve">“unbiased”</w:t>
      </w:r>
      <w:r>
        <w:t xml:space="preserve">,</w:t>
      </w:r>
      <w:r>
        <w:t xml:space="preserve"> </w:t>
      </w:r>
      <w:r>
        <w:t xml:space="preserve">and states each parameter.</w:t>
      </w:r>
    </w:p>
    <w:bookmarkEnd w:id="47"/>
    <w:p>
      <w:pPr>
        <w:pStyle w:val="BodyText"/>
      </w:pPr>
      <w:r>
        <w:t xml:space="preserve">Halmos also says this rule</w:t>
      </w:r>
      <w:r>
        <w:t xml:space="preserve"> </w:t>
      </w:r>
      <w:r>
        <w:t xml:space="preserve">“is sometimes better to break than to obey”</w:t>
      </w:r>
      <w:r>
        <w:t xml:space="preserve">:</w:t>
      </w:r>
      <w:r>
        <w:t xml:space="preserve"> </w:t>
      </w:r>
      <w:r>
        <w:t xml:space="preserve">a symbol that you introduce so that a later sentence in the same paragraph can use it is not superfluous.</w:t>
      </w:r>
      <w:r>
        <w:t xml:space="preserve"> </w:t>
      </w:r>
      <w:r>
        <w:t xml:space="preserve">No check can tell a symbol that a later sentence uses from one that it never uses,</w:t>
      </w:r>
      <w:r>
        <w:t xml:space="preserve"> </w:t>
      </w:r>
      <w:r>
        <w:t xml:space="preserve">because</w:t>
      </w:r>
      <w:r>
        <w:t xml:space="preserve"> </w:t>
      </w:r>
      <w:r>
        <w:t xml:space="preserve">“later”</w:t>
      </w:r>
      <w:r>
        <w:t xml:space="preserve"> </w:t>
      </w:r>
      <w:r>
        <w:t xml:space="preserve">can span pages, so this stays a writing rule that review enforces.</w:t>
      </w:r>
    </w:p>
    <w:bookmarkEnd w:id="48"/>
    <w:bookmarkStart w:id="52" w:name="Xd4c420c794a4d3e47a75832ce6d850be7dcc245"/>
    <w:p>
      <w:pPr>
        <w:pStyle w:val="Heading1"/>
      </w:pPr>
      <w:r>
        <w:t xml:space="preserve">11. Repeat the wording of parallel results, then point out the difference</w:t>
      </w:r>
    </w:p>
    <w:p>
      <w:pPr>
        <w:pStyle w:val="FirstParagraph"/>
      </w:pPr>
      <w:r>
        <w:t xml:space="preserve">When a later result treats a parallel or more general case,</w:t>
      </w:r>
      <w:r>
        <w:t xml:space="preserve"> </w:t>
      </w:r>
      <w:r>
        <w:t xml:space="preserve">Halmos advises that</w:t>
      </w:r>
      <w:r>
        <w:t xml:space="preserve"> </w:t>
      </w:r>
      <w:r>
        <w:t xml:space="preserve">“it is a big help to the reader</w:t>
      </w:r>
      <w:r>
        <w:t xml:space="preserve"> </w:t>
      </w:r>
      <w:r>
        <w:t xml:space="preserve">if you use the same words in the same order for as long as possible,</w:t>
      </w:r>
      <w:r>
        <w:t xml:space="preserve"> </w:t>
      </w:r>
      <w:r>
        <w:t xml:space="preserve">and then, with a proper roll of drums, emphasize the difference”</w:t>
      </w:r>
      <w:r>
        <w:t xml:space="preserve"> </w:t>
      </w:r>
      <w:r>
        <w:t xml:space="preserve">(Halmos 1970, sec. 11)</w:t>
      </w:r>
      <w:r>
        <w:t xml:space="preserve">.</w:t>
      </w:r>
      <w:r>
        <w:t xml:space="preserve"> </w:t>
      </w:r>
      <w:r>
        <w:t xml:space="preserve">He adds that listing the shared conditions and dropping one is not enough;</w:t>
      </w:r>
      <w:r>
        <w:t xml:space="preserve"> </w:t>
      </w:r>
      <w:r>
        <w:t xml:space="preserve">say which condition changed</w:t>
      </w:r>
      <w:r>
        <w:t xml:space="preserve"> </w:t>
      </w:r>
      <w:r>
        <w:t xml:space="preserve">(Halmos 1970, sec. 11)</w:t>
      </w:r>
      <w:r>
        <w:t xml:space="preserve">.</w:t>
      </w:r>
    </w:p>
    <w:bookmarkStart w:id="50" w:name="exm-parallel-wording"/>
    <w:p>
      <w:pPr>
        <w:pStyle w:val="BodyText"/>
      </w:pPr>
      <w:r>
        <w:rPr>
          <w:b/>
          <w:bCs/>
        </w:rPr>
        <w:t xml:space="preserve">Example 11 (Defining the lasso in the words of the ridge definition)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The ridge estimate minimizes the</w:t>
      </w:r>
      <w:r>
        <w:t xml:space="preserve"> </w:t>
      </w:r>
      <w:hyperlink r:id="rId49">
        <w:r>
          <w:rPr>
            <w:rStyle w:val="Hyperlink"/>
          </w:rPr>
          <w:t xml:space="preserve">residual sum of squares</w:t>
        </w:r>
      </w:hyperlink>
      <w:r>
        <w:t xml:space="preserve"> </w:t>
      </w:r>
      <w:r>
        <w:t xml:space="preserve">plus a penalty on the size of the coefficients, which is the sum of their squares.</w:t>
      </w:r>
      <w:r>
        <w:t xml:space="preserve"> </w:t>
      </w:r>
      <w:r>
        <w:t xml:space="preserve">The lasso estimate is the vector of coefficients with the smallest penalized fit, where the penalty adds up the absolute values.</w:t>
      </w:r>
    </w:p>
    <w:p>
      <w:pPr>
        <w:pStyle w:val="BlockText"/>
      </w:pPr>
      <w:r>
        <w:t xml:space="preserve">✅ The ridge estimate minimizes the residual sum of squares plus a penalty equal to the sum of the squared coefficients.</w:t>
      </w:r>
      <w:r>
        <w:t xml:space="preserve"> </w:t>
      </w:r>
      <w:r>
        <w:t xml:space="preserve">The lasso estimate minimizes the residual sum of squares plus a penalty equal to the sum of the absolute values of the coefficients.</w:t>
      </w:r>
      <w:r>
        <w:t xml:space="preserve"> </w:t>
      </w:r>
      <w:r>
        <w:t xml:space="preserve">The two definitions differ only in the penalty.</w:t>
      </w:r>
    </w:p>
    <w:p>
      <w:pPr>
        <w:pStyle w:val="FirstParagraph"/>
      </w:pPr>
      <w:r>
        <w:t xml:space="preserve">The ❌ pair varies every phrase, so the reader must compare them clause by clause to find that only the penalty differs.</w:t>
      </w:r>
      <w:r>
        <w:t xml:space="preserve"> </w:t>
      </w:r>
      <w:r>
        <w:t xml:space="preserve">The ✅ pair repeats the shared words and ends by naming the one change.</w:t>
      </w:r>
    </w:p>
    <w:bookmarkEnd w:id="50"/>
    <w:p>
      <w:pPr>
        <w:pStyle w:val="BodyText"/>
      </w:pPr>
      <w:r>
        <w:t xml:space="preserve">Rewording is for the places where the meaning differs.</w:t>
      </w:r>
      <w:r>
        <w:t xml:space="preserve"> </w:t>
      </w:r>
      <w:r>
        <w:t xml:space="preserve">Do not repeat a result for the sake of repetition;</w:t>
      </w:r>
      <w:r>
        <w:t xml:space="preserve"> </w:t>
      </w:r>
      <w:hyperlink r:id="rId51">
        <w:r>
          <w:rPr>
            <w:rStyle w:val="Hyperlink"/>
          </w:rPr>
          <w:t xml:space="preserve">reuse one written version of each result</w:t>
        </w:r>
      </w:hyperlink>
      <w:r>
        <w:t xml:space="preserve"> </w:t>
      </w:r>
      <w:r>
        <w:t xml:space="preserve">covers that case.</w:t>
      </w:r>
    </w:p>
    <w:p>
      <w:pPr>
        <w:pStyle w:val="BodyText"/>
      </w:pPr>
      <w:r>
        <w:t xml:space="preserve">No check can decide that two results are parallel,</w:t>
      </w:r>
      <w:r>
        <w:t xml:space="preserve"> </w:t>
      </w:r>
      <w:r>
        <w:t xml:space="preserve">so this stays a writing rule that review enforces.</w:t>
      </w:r>
    </w:p>
    <w:bookmarkEnd w:id="52"/>
    <w:bookmarkStart w:id="56" w:name="state-a-theorem-in-one-short-sentence"/>
    <w:p>
      <w:pPr>
        <w:pStyle w:val="Heading1"/>
      </w:pPr>
      <w:r>
        <w:t xml:space="preserve">12. State a theorem in one short sentence</w:t>
      </w:r>
    </w:p>
    <w:p>
      <w:pPr>
        <w:pStyle w:val="FirstParagraph"/>
      </w:pPr>
      <w:r>
        <w:t xml:space="preserve">Halmos advises that</w:t>
      </w:r>
      <w:r>
        <w:t xml:space="preserve"> </w:t>
      </w:r>
      <w:r>
        <w:t xml:space="preserve">“the statement of the theorem should consist of one sentence whenever possible”</w:t>
      </w:r>
      <w:r>
        <w:t xml:space="preserve">,</w:t>
      </w:r>
      <w:r>
        <w:t xml:space="preserve"> </w:t>
      </w:r>
      <w:r>
        <w:t xml:space="preserve">and that the sentence be a short one</w:t>
      </w:r>
      <w:r>
        <w:t xml:space="preserve"> </w:t>
      </w:r>
      <w:r>
        <w:t xml:space="preserve">(Halmos 1970, sec. 10)</w:t>
      </w:r>
      <w:r>
        <w:t xml:space="preserve">.</w:t>
      </w:r>
      <w:r>
        <w:t xml:space="preserve"> </w:t>
      </w:r>
      <w:r>
        <w:t xml:space="preserve">Put the introductory comments, preliminary definitions and motivation before the statement,</w:t>
      </w:r>
      <w:r>
        <w:t xml:space="preserve"> </w:t>
      </w:r>
      <w:r>
        <w:t xml:space="preserve">and the proof after it.</w:t>
      </w:r>
      <w:r>
        <w:t xml:space="preserve"> </w:t>
      </w:r>
      <w:r>
        <w:t xml:space="preserve">Leave asides out of the statement itself.</w:t>
      </w:r>
      <w:r>
        <w:t xml:space="preserve"> </w:t>
      </w:r>
      <w:r>
        <w:t xml:space="preserve">Halmos says that phrases such as</w:t>
      </w:r>
      <w:r>
        <w:t xml:space="preserve"> </w:t>
      </w:r>
      <w:r>
        <w:t xml:space="preserve">“without loss of generality we may assume …”</w:t>
      </w:r>
      <w:r>
        <w:t xml:space="preserve"> </w:t>
      </w:r>
      <w:r>
        <w:t xml:space="preserve">and</w:t>
      </w:r>
      <w:r>
        <w:t xml:space="preserve"> </w:t>
      </w:r>
      <w:r>
        <w:t xml:space="preserve">“moreover it follows from Theorem 1 that …”</w:t>
      </w:r>
      <w:r>
        <w:t xml:space="preserve"> </w:t>
      </w:r>
      <w:r>
        <w:t xml:space="preserve">do not belong in the statement of a theorem</w:t>
      </w:r>
      <w:r>
        <w:t xml:space="preserve"> </w:t>
      </w:r>
      <w:r>
        <w:t xml:space="preserve">(Halmos 1970, sec. 10)</w:t>
      </w:r>
      <w:r>
        <w:t xml:space="preserve">.</w:t>
      </w:r>
      <w:r>
        <w:t xml:space="preserve"> </w:t>
      </w:r>
      <w:r>
        <w:t xml:space="preserve">A reasoning word in a statement (</w:t>
      </w:r>
      <w:r>
        <w:t xml:space="preserve">“so”</w:t>
      </w:r>
      <w:r>
        <w:t xml:space="preserve">,</w:t>
      </w:r>
      <w:r>
        <w:t xml:space="preserve"> </w:t>
      </w:r>
      <w:r>
        <w:t xml:space="preserve">“because”</w:t>
      </w:r>
      <w:r>
        <w:t xml:space="preserve">) is a separate fault,</w:t>
      </w:r>
      <w:r>
        <w:t xml:space="preserve"> </w:t>
      </w:r>
      <w:r>
        <w:t xml:space="preserve">and</w:t>
      </w:r>
      <w:r>
        <w:t xml:space="preserve"> </w:t>
      </w:r>
      <w:hyperlink r:id="rId53">
        <w:r>
          <w:rPr>
            <w:rStyle w:val="Hyperlink"/>
          </w:rPr>
          <w:t xml:space="preserve">Build every unit from smaller atomic units</w:t>
        </w:r>
      </w:hyperlink>
      <w:r>
        <w:t xml:space="preserve"> </w:t>
      </w:r>
      <w:r>
        <w:t xml:space="preserve">covers it.</w:t>
      </w:r>
    </w:p>
    <w:bookmarkStart w:id="54" w:name="exm-one-sentence-statement"/>
    <w:p>
      <w:pPr>
        <w:pStyle w:val="BodyText"/>
      </w:pPr>
      <w:r>
        <w:rPr>
          <w:b/>
          <w:bCs/>
        </w:rPr>
        <w:t xml:space="preserve">Example 12 (Moving an aside out of a statement)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Without loss of generality, let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Moreover, the sequence converges.</w:t>
      </w:r>
    </w:p>
    <w:p>
      <w:pPr>
        <w:pStyle w:val="BlockText"/>
      </w:pPr>
      <w:r>
        <w:t xml:space="preserve">✅ If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then the sequence converges.</w:t>
      </w:r>
    </w:p>
    <w:p>
      <w:pPr>
        <w:pStyle w:val="FirstParagraph"/>
      </w:pPr>
      <w:r>
        <w:t xml:space="preserve">The ❌ statement is two sentences, and the first one is an aside.</w:t>
      </w:r>
      <w:r>
        <w:t xml:space="preserve"> </w:t>
      </w:r>
      <w:r>
        <w:t xml:space="preserve">The ✅ statement is one implication.</w:t>
      </w:r>
      <w:r>
        <w:t xml:space="preserve"> </w:t>
      </w:r>
      <w:r>
        <w:t xml:space="preserve">If the case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needs the same argument, say so in the proof.</w:t>
      </w:r>
    </w:p>
    <w:bookmarkEnd w:id="54"/>
    <w:p>
      <w:pPr>
        <w:pStyle w:val="BodyText"/>
      </w:pPr>
      <w:r>
        <w:t xml:space="preserve">A statement that lists many hypotheses and many conclusions is too long for one sentence.</w:t>
      </w:r>
      <w:r>
        <w:t xml:space="preserve"> </w:t>
      </w:r>
      <w:r>
        <w:t xml:space="preserve">Halmos says that</w:t>
      </w:r>
      <w:r>
        <w:t xml:space="preserve"> </w:t>
      </w:r>
      <w:r>
        <w:t xml:space="preserve">“a list of eight hypotheses … and a list of six conclusions do not a theorem make;</w:t>
      </w:r>
      <w:r>
        <w:t xml:space="preserve"> </w:t>
      </w:r>
      <w:r>
        <w:t xml:space="preserve">they are a badly expounded theory”</w:t>
      </w:r>
      <w:r>
        <w:t xml:space="preserve">,</w:t>
      </w:r>
      <w:r>
        <w:t xml:space="preserve"> </w:t>
      </w:r>
      <w:r>
        <w:t xml:space="preserve">and that the hypotheses</w:t>
      </w:r>
      <w:r>
        <w:t xml:space="preserve"> </w:t>
      </w:r>
      <w:r>
        <w:t xml:space="preserve">“probably describe a general concept that deserves to be isolated, named, and studied”</w:t>
      </w:r>
      <w:r>
        <w:t xml:space="preserve"> </w:t>
      </w:r>
      <w:r>
        <w:t xml:space="preserve">(Halmos 1970, sec. 10)</w:t>
      </w:r>
      <w:r>
        <w:t xml:space="preserve">.</w:t>
      </w:r>
      <w:r>
        <w:t xml:space="preserve"> </w:t>
      </w:r>
      <w:r>
        <w:t xml:space="preserve">Name the shared concept in its own definition,</w:t>
      </w:r>
      <w:r>
        <w:t xml:space="preserve"> </w:t>
      </w:r>
      <w:r>
        <w:t xml:space="preserve">and state each conclusion as its own result.</w:t>
      </w:r>
    </w:p>
    <w:p>
      <w:pPr>
        <w:pStyle w:val="BodyText"/>
      </w:pPr>
      <w:r>
        <w:t xml:space="preserve">A warn-only check (</w:t>
      </w:r>
      <w:hyperlink r:id="rId55">
        <w:r>
          <w:rPr>
            <w:rStyle w:val="Hyperlink"/>
          </w:rPr>
          <w:t xml:space="preserve">gha#1368</w:t>
        </w:r>
      </w:hyperlink>
      <w:r>
        <w:t xml:space="preserve">) flags</w:t>
      </w:r>
      <w:r>
        <w:t xml:space="preserve"> </w:t>
      </w:r>
      <w:r>
        <w:t xml:space="preserve">“without loss of generality”</w:t>
      </w:r>
      <w:r>
        <w:t xml:space="preserve">,</w:t>
      </w:r>
      <w:r>
        <w:t xml:space="preserve"> </w:t>
      </w:r>
      <w:r>
        <w:t xml:space="preserve">“moreover”</w:t>
      </w:r>
      <w:r>
        <w:t xml:space="preserve"> </w:t>
      </w:r>
      <w:r>
        <w:t xml:space="preserve">and</w:t>
      </w:r>
      <w:r>
        <w:t xml:space="preserve"> </w:t>
      </w:r>
      <w:r>
        <w:t xml:space="preserve">“furthermore”</w:t>
      </w:r>
      <w:r>
        <w:t xml:space="preserve"> </w:t>
      </w:r>
      <w:r>
        <w:t xml:space="preserve">on a line that a pull request adds to a theorem statement.</w:t>
      </w:r>
      <w:r>
        <w:t xml:space="preserve"> </w:t>
      </w:r>
      <w:r>
        <w:t xml:space="preserve">No check can measure whether a statement is short or whether its hypotheses form a concept,</w:t>
      </w:r>
      <w:r>
        <w:t xml:space="preserve"> </w:t>
      </w:r>
      <w:r>
        <w:t xml:space="preserve">so the length rule stays a writing rule that review enforces.</w:t>
      </w:r>
    </w:p>
    <w:bookmarkEnd w:id="56"/>
    <w:bookmarkStart w:id="70" w:name="rules-that-other-chapters-cover"/>
    <w:p>
      <w:pPr>
        <w:pStyle w:val="Heading1"/>
      </w:pPr>
      <w:r>
        <w:t xml:space="preserve">13. Rules that other chapters cover</w:t>
      </w:r>
    </w:p>
    <w:p>
      <w:pPr>
        <w:pStyle w:val="FirstParagraph"/>
      </w:pPr>
      <w:hyperlink w:anchor="tbl-knuth-elsewhere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lists the course’s other rules and where this book discusses them.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4" w:name="tbl-knuth-elsewher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Rules from the course that other chapters of this book cover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584"/>
              <w:gridCol w:w="6336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Rule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Where it appears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Define every variable when you introduce it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23">
                    <w:r>
                      <w:rPr>
                        <w:rStyle w:val="Hyperlink"/>
                      </w:rPr>
                      <w:t xml:space="preserve">Defining terms</w:t>
                    </w:r>
                  </w:hyperlink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Use one notation for one thing, and one thing for each notation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22">
                    <w:r>
                      <w:rPr>
                        <w:rStyle w:val="Hyperlink"/>
                      </w:rPr>
                      <w:t xml:space="preserve">Mathematical notation</w:t>
                    </w:r>
                  </w:hyperlink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Motivate a result before you derive it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57">
                    <w:r>
                      <w:rPr>
                        <w:rStyle w:val="Hyperlink"/>
                      </w:rPr>
                      <w:t xml:space="preserve">Show why you need a result before you derive it</w:t>
                    </w:r>
                  </w:hyperlink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Avoid strings of nouns used as adjectives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58">
                    <w:r>
                      <w:rPr>
                        <w:rStyle w:val="Hyperlink"/>
                      </w:rPr>
                      <w:t xml:space="preserve">Rewrite noun strings and hidden verbs</w:t>
                    </w:r>
                  </w:hyperlink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Avoid unnecessary jargon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59">
                    <w:r>
                      <w:rPr>
                        <w:rStyle w:val="Hyperlink"/>
                      </w:rPr>
                      <w:t xml:space="preserve">Minimize unnecessary jargon</w:t>
                    </w:r>
                  </w:hyperlink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Write sentences that can be read from left to right without ambiguity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60">
                    <w:r>
                      <w:rPr>
                        <w:rStyle w:val="Hyperlink"/>
                      </w:rPr>
                      <w:t xml:space="preserve">Avoid garden-path sentences</w:t>
                    </w:r>
                  </w:hyperlink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Use</w:t>
                  </w:r>
                  <w:r>
                    <w:t xml:space="preserve"> </w:t>
                  </w:r>
                  <w:r>
                    <w:t xml:space="preserve">“that”</w:t>
                  </w:r>
                  <w:r>
                    <w:t xml:space="preserve"> </w:t>
                  </w:r>
                  <w:r>
                    <w:t xml:space="preserve">instead of</w:t>
                  </w:r>
                  <w:r>
                    <w:t xml:space="preserve"> </w:t>
                  </w:r>
                  <w:r>
                    <w:t xml:space="preserve">“which”</w:t>
                  </w:r>
                  <w:r>
                    <w:t xml:space="preserve"> </w:t>
                  </w:r>
                  <w:r>
                    <w:t xml:space="preserve">in a</w:t>
                  </w:r>
                  <w:r>
                    <w:t xml:space="preserve"> </w:t>
                  </w:r>
                  <w:hyperlink r:id="rId61">
                    <w:r>
                      <w:rPr>
                        <w:rStyle w:val="Hyperlink"/>
                      </w:rPr>
                      <w:t xml:space="preserve">restrictive clause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62">
                    <w:r>
                      <w:rPr>
                        <w:rStyle w:val="Hyperlink"/>
                      </w:rPr>
                      <w:t xml:space="preserve">Relative pronouns</w:t>
                    </w:r>
                  </w:hyperlink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Do not praise your own work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63">
                    <w:r>
                      <w:rPr>
                        <w:rStyle w:val="Hyperlink"/>
                      </w:rPr>
                      <w:t xml:space="preserve">Tone</w:t>
                    </w:r>
                  </w:hyperlink>
                </w:p>
              </w:tc>
            </w:tr>
          </w:tbl>
          <w:bookmarkEnd w:id="64"/>
          <w:p/>
        </w:tc>
      </w:tr>
    </w:tbl>
    <w:bookmarkStart w:id="69" w:name="refs"/>
    <w:bookmarkStart w:id="66" w:name="ref-halmos1970write"/>
    <w:p>
      <w:pPr>
        <w:pStyle w:val="Bibliography"/>
      </w:pPr>
      <w:r>
        <w:t xml:space="preserve">Halmos, Paul R. 1970.</w:t>
      </w:r>
      <w:r>
        <w:t xml:space="preserve"> </w:t>
      </w:r>
      <w:r>
        <w:t xml:space="preserve">“How to Write Mathematics.”</w:t>
      </w:r>
      <w:r>
        <w:t xml:space="preserve"> </w:t>
      </w:r>
      <w:r>
        <w:rPr>
          <w:i/>
          <w:iCs/>
        </w:rPr>
        <w:t xml:space="preserve">L’Enseignement Math</w:t>
      </w:r>
      <w:r>
        <w:rPr>
          <w:i/>
          <w:iCs/>
        </w:rPr>
        <w:t xml:space="preserve">é</w:t>
      </w:r>
      <w:r>
        <w:rPr>
          <w:i/>
          <w:iCs/>
        </w:rPr>
        <w:t xml:space="preserve">matique</w:t>
      </w:r>
      <w:r>
        <w:t xml:space="preserve"> </w:t>
      </w:r>
      <w:r>
        <w:t xml:space="preserve">16.</w:t>
      </w:r>
      <w:r>
        <w:t xml:space="preserve"> </w:t>
      </w:r>
      <w:hyperlink r:id="rId65">
        <w:r>
          <w:rPr>
            <w:rStyle w:val="Hyperlink"/>
          </w:rPr>
          <w:t xml:space="preserve">https://doi.org/10.5169/seals-43857</w:t>
        </w:r>
      </w:hyperlink>
      <w:r>
        <w:t xml:space="preserve">.</w:t>
      </w:r>
    </w:p>
    <w:bookmarkEnd w:id="66"/>
    <w:bookmarkStart w:id="68" w:name="ref-knuth1987mathematical"/>
    <w:p>
      <w:pPr>
        <w:pStyle w:val="Bibliography"/>
      </w:pPr>
      <w:r>
        <w:t xml:space="preserve">Knuth, Donald E., Tracy Larrabee, and Paul M. Roberts. 1987.</w:t>
      </w:r>
      <w:r>
        <w:t xml:space="preserve"> </w:t>
      </w:r>
      <w:r>
        <w:rPr>
          <w:i/>
          <w:iCs/>
        </w:rPr>
        <w:t xml:space="preserve">Mathematical Writing</w:t>
      </w:r>
      <w:r>
        <w:t xml:space="preserve">.</w:t>
      </w:r>
      <w:r>
        <w:t xml:space="preserve"> </w:t>
      </w:r>
      <w:hyperlink r:id="rId67">
        <w:r>
          <w:rPr>
            <w:rStyle w:val="Hyperlink"/>
          </w:rPr>
          <w:t xml:space="preserve">https://jmlr.csail.mit.edu/reviewing-papers/knuth_mathematical_writing.pdf</w:t>
        </w:r>
      </w:hyperlink>
      <w:r>
        <w:t xml:space="preserve">.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63" Target="avoid-cliches.qmd#tone" TargetMode="External" /><Relationship Type="http://schemas.openxmlformats.org/officeDocument/2006/relationships/hyperlink" Id="rId20" Target="defining-terms.qmd#def-population" TargetMode="External" /><Relationship Type="http://schemas.openxmlformats.org/officeDocument/2006/relationships/hyperlink" Id="rId49" Target="defining-terms.qmd#def-rss" TargetMode="External" /><Relationship Type="http://schemas.openxmlformats.org/officeDocument/2006/relationships/hyperlink" Id="rId45" Target="defining-terms.qmd#def-sample-mean" TargetMode="External" /><Relationship Type="http://schemas.openxmlformats.org/officeDocument/2006/relationships/hyperlink" Id="rId19" Target="defining-terms.qmd#def-term" TargetMode="External" /><Relationship Type="http://schemas.openxmlformats.org/officeDocument/2006/relationships/hyperlink" Id="rId46" Target="defining-terms.qmd#def-variance-expression-and-prose" TargetMode="External" /><Relationship Type="http://schemas.openxmlformats.org/officeDocument/2006/relationships/hyperlink" Id="rId23" Target="defining-terms.qmd#guidelines-for-defining-terms" TargetMode="External" /><Relationship Type="http://schemas.openxmlformats.org/officeDocument/2006/relationships/hyperlink" Id="rId38" Target="defining-terms/derivation-format.qmd" TargetMode="External" /><Relationship Type="http://schemas.openxmlformats.org/officeDocument/2006/relationships/hyperlink" Id="rId60" Target="grammar.qmd#avoid-garden-path-sentences" TargetMode="External" /><Relationship Type="http://schemas.openxmlformats.org/officeDocument/2006/relationships/hyperlink" Id="rId61" Target="grammar.qmd#def-restrictive-clause" TargetMode="External" /><Relationship Type="http://schemas.openxmlformats.org/officeDocument/2006/relationships/hyperlink" Id="rId62" Target="grammar.qmd#relative-pronouns" TargetMode="External" /><Relationship Type="http://schemas.openxmlformats.org/officeDocument/2006/relationships/hyperlink" Id="rId65" Target="https://doi.org/10.5169/seals-43857" TargetMode="External" /><Relationship Type="http://schemas.openxmlformats.org/officeDocument/2006/relationships/hyperlink" Id="rId39" Target="https://github.com/Morrison-Lab/gha" TargetMode="External" /><Relationship Type="http://schemas.openxmlformats.org/officeDocument/2006/relationships/hyperlink" Id="rId55" Target="https://github.com/Morrison-Lab/gha/pull/1368" TargetMode="External" /><Relationship Type="http://schemas.openxmlformats.org/officeDocument/2006/relationships/hyperlink" Id="rId67" Target="https://jmlr.csail.mit.edu/reviewing-papers/knuth_mathematical_writing.pdf" TargetMode="External" /><Relationship Type="http://schemas.openxmlformats.org/officeDocument/2006/relationships/hyperlink" Id="rId43" Target="https://morrison-lab.github.io/mds/functions.html#def-function" TargetMode="External" /><Relationship Type="http://schemas.openxmlformats.org/officeDocument/2006/relationships/hyperlink" Id="rId30" Target="https://quarto.org/docs/authoring/cross-references.html#equations" TargetMode="External" /><Relationship Type="http://schemas.openxmlformats.org/officeDocument/2006/relationships/hyperlink" Id="rId58" Target="inclusive-writing.qmd#rewrite-noun-strings-and-hidden-verbs" TargetMode="External" /><Relationship Type="http://schemas.openxmlformats.org/officeDocument/2006/relationships/hyperlink" Id="rId22" Target="notation.qmd#matching-names-and-notation" TargetMode="External" /><Relationship Type="http://schemas.openxmlformats.org/officeDocument/2006/relationships/hyperlink" Id="rId57" Target="notation.qmd#show-why-you-need-a-result-before-you-derive-it" TargetMode="External" /><Relationship Type="http://schemas.openxmlformats.org/officeDocument/2006/relationships/hyperlink" Id="rId53" Target="teaching.qmd#build-every-unit-from-smaller-atomic-units" TargetMode="External" /><Relationship Type="http://schemas.openxmlformats.org/officeDocument/2006/relationships/hyperlink" Id="rId51" Target="teaching.qmd#reuse-one-written-version-of-each-result" TargetMode="External" /><Relationship Type="http://schemas.openxmlformats.org/officeDocument/2006/relationships/hyperlink" Id="rId59" Target="word-choice.qmd#minimize-unnecessary-jarg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3" Target="avoid-cliches.qmd#tone" TargetMode="External" /><Relationship Type="http://schemas.openxmlformats.org/officeDocument/2006/relationships/hyperlink" Id="rId20" Target="defining-terms.qmd#def-population" TargetMode="External" /><Relationship Type="http://schemas.openxmlformats.org/officeDocument/2006/relationships/hyperlink" Id="rId49" Target="defining-terms.qmd#def-rss" TargetMode="External" /><Relationship Type="http://schemas.openxmlformats.org/officeDocument/2006/relationships/hyperlink" Id="rId45" Target="defining-terms.qmd#def-sample-mean" TargetMode="External" /><Relationship Type="http://schemas.openxmlformats.org/officeDocument/2006/relationships/hyperlink" Id="rId19" Target="defining-terms.qmd#def-term" TargetMode="External" /><Relationship Type="http://schemas.openxmlformats.org/officeDocument/2006/relationships/hyperlink" Id="rId46" Target="defining-terms.qmd#def-variance-expression-and-prose" TargetMode="External" /><Relationship Type="http://schemas.openxmlformats.org/officeDocument/2006/relationships/hyperlink" Id="rId23" Target="defining-terms.qmd#guidelines-for-defining-terms" TargetMode="External" /><Relationship Type="http://schemas.openxmlformats.org/officeDocument/2006/relationships/hyperlink" Id="rId38" Target="defining-terms/derivation-format.qmd" TargetMode="External" /><Relationship Type="http://schemas.openxmlformats.org/officeDocument/2006/relationships/hyperlink" Id="rId60" Target="grammar.qmd#avoid-garden-path-sentences" TargetMode="External" /><Relationship Type="http://schemas.openxmlformats.org/officeDocument/2006/relationships/hyperlink" Id="rId61" Target="grammar.qmd#def-restrictive-clause" TargetMode="External" /><Relationship Type="http://schemas.openxmlformats.org/officeDocument/2006/relationships/hyperlink" Id="rId62" Target="grammar.qmd#relative-pronouns" TargetMode="External" /><Relationship Type="http://schemas.openxmlformats.org/officeDocument/2006/relationships/hyperlink" Id="rId65" Target="https://doi.org/10.5169/seals-43857" TargetMode="External" /><Relationship Type="http://schemas.openxmlformats.org/officeDocument/2006/relationships/hyperlink" Id="rId39" Target="https://github.com/Morrison-Lab/gha" TargetMode="External" /><Relationship Type="http://schemas.openxmlformats.org/officeDocument/2006/relationships/hyperlink" Id="rId55" Target="https://github.com/Morrison-Lab/gha/pull/1368" TargetMode="External" /><Relationship Type="http://schemas.openxmlformats.org/officeDocument/2006/relationships/hyperlink" Id="rId67" Target="https://jmlr.csail.mit.edu/reviewing-papers/knuth_mathematical_writing.pdf" TargetMode="External" /><Relationship Type="http://schemas.openxmlformats.org/officeDocument/2006/relationships/hyperlink" Id="rId43" Target="https://morrison-lab.github.io/mds/functions.html#def-function" TargetMode="External" /><Relationship Type="http://schemas.openxmlformats.org/officeDocument/2006/relationships/hyperlink" Id="rId30" Target="https://quarto.org/docs/authoring/cross-references.html#equations" TargetMode="External" /><Relationship Type="http://schemas.openxmlformats.org/officeDocument/2006/relationships/hyperlink" Id="rId58" Target="inclusive-writing.qmd#rewrite-noun-strings-and-hidden-verbs" TargetMode="External" /><Relationship Type="http://schemas.openxmlformats.org/officeDocument/2006/relationships/hyperlink" Id="rId22" Target="notation.qmd#matching-names-and-notation" TargetMode="External" /><Relationship Type="http://schemas.openxmlformats.org/officeDocument/2006/relationships/hyperlink" Id="rId57" Target="notation.qmd#show-why-you-need-a-result-before-you-derive-it" TargetMode="External" /><Relationship Type="http://schemas.openxmlformats.org/officeDocument/2006/relationships/hyperlink" Id="rId53" Target="teaching.qmd#build-every-unit-from-smaller-atomic-units" TargetMode="External" /><Relationship Type="http://schemas.openxmlformats.org/officeDocument/2006/relationships/hyperlink" Id="rId51" Target="teaching.qmd#reuse-one-written-version-of-each-result" TargetMode="External" /><Relationship Type="http://schemas.openxmlformats.org/officeDocument/2006/relationships/hyperlink" Id="rId59" Target="word-choice.qmd#minimize-unnecessary-jarg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Writing mathematics in sentences</dc:title>
  <dc:creator/>
  <cp:keywords/>
  <dcterms:created xsi:type="dcterms:W3CDTF">2026-11-06T00:42:03Z</dcterms:created>
  <dcterms:modified xsi:type="dcterms:W3CDTF">2026-11-06T00:42:03Z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2026-11-05 16:37:15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