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Mathematical notation</w:t>
      </w:r>
    </w:p>
    <w:p>
      <w:pPr>
        <w:pStyle w:val="Date"/>
      </w:pPr>
      <w:r>
        <w:t xml:space="preserve">Last modified: 2026-09-26 05:55:30 (UTC)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Notation is part of your prose,</w:t>
      </w:r>
      <w:r>
        <w:t xml:space="preserve"> </w:t>
      </w:r>
      <w:r>
        <w:t xml:space="preserve">and readers parse it the same way they parse a sentence.</w:t>
      </w:r>
      <w:r>
        <w:t xml:space="preserve"> </w:t>
      </w:r>
      <w:r>
        <w:t xml:space="preserve">This chapter collects notational habits</w:t>
      </w:r>
      <w:r>
        <w:t xml:space="preserve"> </w:t>
      </w:r>
      <w:r>
        <w:t xml:space="preserve">that make quantitative writing easier to read.</w:t>
      </w:r>
    </w:p>
    <w:bookmarkStart w:id="15" w:name="avoiding-double-inequalities"/>
    <w:p>
      <w:pPr>
        <w:pStyle w:val="Heading2"/>
      </w:pPr>
      <w:r>
        <w:t xml:space="preserve">1 Avoiding double inequalities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double inequality</w:t>
      </w:r>
      <w:r>
        <w:t xml:space="preserve"> </w:t>
      </w:r>
      <w:r>
        <w:t xml:space="preserve">(or</w:t>
      </w:r>
      <w:r>
        <w:t xml:space="preserve"> </w:t>
      </w:r>
      <w:r>
        <w:rPr>
          <w:i/>
          <w:iCs/>
        </w:rPr>
        <w:t xml:space="preserve">chained inequality</w:t>
      </w:r>
      <w:r>
        <w:t xml:space="preserve">)</w:t>
      </w:r>
      <w:r>
        <w:t xml:space="preserve"> </w:t>
      </w:r>
      <w:r>
        <w:t xml:space="preserve">places one quantity between two others,</w:t>
      </w:r>
      <w:r>
        <w:t xml:space="preserve"> </w:t>
      </w:r>
      <w:r>
        <w:t xml:space="preserve">as in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Prefer interval notation instead: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Interval notation is easier to read for three reasons:</w:t>
      </w:r>
    </w:p>
    <w:p>
      <w:pPr>
        <w:pStyle w:val="Compact"/>
        <w:numPr>
          <w:ilvl w:val="0"/>
          <w:numId w:val="1001"/>
        </w:numPr>
      </w:pPr>
      <w:r>
        <w:t xml:space="preserve">It states one relation instead of two,</w:t>
      </w:r>
      <w:r>
        <w:t xml:space="preserve"> </w:t>
      </w:r>
      <w:r>
        <w:t xml:space="preserve">so the reader parses a single claim rather than combining a pair of them.</w:t>
      </w:r>
    </w:p>
    <w:p>
      <w:pPr>
        <w:pStyle w:val="Compact"/>
        <w:numPr>
          <w:ilvl w:val="0"/>
          <w:numId w:val="1001"/>
        </w:numPr>
      </w:pPr>
      <w:r>
        <w:t xml:space="preserve">It names the set you actually mean,</w:t>
      </w:r>
      <w:r>
        <w:t xml:space="preserve"> </w:t>
      </w:r>
      <w:r>
        <w:t xml:space="preserve">so the same expression can be reused</w:t>
      </w:r>
      <w:r>
        <w:t xml:space="preserve"> </w:t>
      </w:r>
      <w:r>
        <w:t xml:space="preserve">as a domain, a constraint, or the argument of a quantifier.</w:t>
      </w:r>
    </w:p>
    <w:p>
      <w:pPr>
        <w:pStyle w:val="Compact"/>
        <w:numPr>
          <w:ilvl w:val="0"/>
          <w:numId w:val="1001"/>
        </w:numPr>
      </w:pPr>
      <w:r>
        <w:t xml:space="preserve">It marks inclusive and exclusive endpoints</w:t>
      </w:r>
      <w:r>
        <w:t xml:space="preserve"> </w:t>
      </w:r>
      <w:r>
        <w:t xml:space="preserve">with brackets and parentheses,</w:t>
      </w:r>
      <w:r>
        <w:t xml:space="preserve"> </w:t>
      </w:r>
      <w:r>
        <w:t xml:space="preserve">which are easier to distinguish at a glance</w:t>
      </w:r>
      <w:r>
        <w:t xml:space="preserve"> </w:t>
      </w:r>
      <w:r>
        <w:t xml:space="preserve">than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bookmarkStart w:id="12" w:name="exm-double-inequality"/>
    <w:p>
      <w:pPr>
        <w:pStyle w:val="FirstParagraph"/>
      </w:pPr>
      <w:r>
        <w:rPr>
          <w:b/>
          <w:bCs/>
        </w:rPr>
        <w:t xml:space="preserve">Example 1 (Rewriting a double inequality)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Suppose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σ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t xml:space="preserve">✅ Suppose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The rewrite makes the two constraints look alike,</w:t>
      </w:r>
      <w:r>
        <w:t xml:space="preserve"> </w:t>
      </w:r>
      <w:r>
        <w:t xml:space="preserve">so the reader can compare them directly</w:t>
      </w:r>
      <w:r>
        <w:t xml:space="preserve"> </w:t>
      </w:r>
      <w:r>
        <w:t xml:space="preserve">instead of checking four inequality symbols.</w:t>
      </w:r>
    </w:p>
    <w:bookmarkEnd w:id="12"/>
    <w:p>
      <w:pPr>
        <w:pStyle w:val="BodyText"/>
      </w:pPr>
      <w:r>
        <w:t xml:space="preserve">The same guidance applies to prose:</w:t>
      </w:r>
      <w:r>
        <w:t xml:space="preserve"> </w:t>
      </w:r>
      <w:r>
        <w:t xml:space="preserve">write</w:t>
      </w:r>
      <w:r>
        <w:t xml:space="preserve"> </w:t>
      </w:r>
      <w:r>
        <w:t xml:space="preserve">“for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between 0 and 1, exclusive”</w:t>
      </w:r>
      <w:r>
        <w:t xml:space="preserve">.</w:t>
      </w:r>
    </w:p>
    <w:bookmarkStart w:id="14" w:name="Xd5082b5d23f03fe9ee7d5355a33d2ae0a7cf593"/>
    <w:p>
      <w:pPr>
        <w:pStyle w:val="Heading3"/>
      </w:pPr>
      <w:r>
        <w:t xml:space="preserve">1.1 When the middle term is not a single symbol</w:t>
      </w:r>
    </w:p>
    <w:p>
      <w:pPr>
        <w:pStyle w:val="FirstParagraph"/>
      </w:pPr>
      <w:r>
        <w:t xml:space="preserve">Interval notation works best</w:t>
      </w:r>
      <w:r>
        <w:t xml:space="preserve"> </w:t>
      </w:r>
      <w:r>
        <w:t xml:space="preserve">when the quantity being constrained is a single expression.</w:t>
      </w:r>
      <w:r>
        <w:t xml:space="preserve"> </w:t>
      </w:r>
      <w:r>
        <w:t xml:space="preserve">When the middle term is complicated,</w:t>
      </w:r>
      <w:r>
        <w:t xml:space="preserve"> </w:t>
      </w:r>
      <w:r>
        <w:t xml:space="preserve">naming it first keeps the constraint short.</w:t>
      </w:r>
    </w:p>
    <w:bookmarkStart w:id="13" w:name="exm-naming-the-middle-term"/>
    <w:p>
      <w:pPr>
        <w:pStyle w:val="BodyText"/>
      </w:pPr>
      <w:r>
        <w:rPr>
          <w:b/>
          <w:bCs/>
        </w:rPr>
        <w:t xml:space="preserve">Example 2 (Naming the middle term)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−</m:t>
            </m:r>
            <m:r>
              <m:t>θ</m:t>
            </m:r>
          </m:num>
          <m:den>
            <m:r>
              <m:rPr>
                <m:nor/>
                <m:sty m:val="p"/>
              </m:rPr>
              <m:t>se</m:t>
            </m:r>
            <m:r>
              <m:rPr>
                <m:sty m:val="p"/>
              </m:rPr>
              <m:t>(</m:t>
            </m:r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)</m:t>
            </m:r>
          </m:den>
        </m:f>
        <m:r>
          <m:rPr>
            <m:sty m:val="p"/>
          </m:rPr>
          <m:t>&lt;</m:t>
        </m:r>
        <m:r>
          <m:t>1.96</m:t>
        </m:r>
      </m:oMath>
    </w:p>
    <w:p>
      <w:pPr>
        <w:pStyle w:val="BlockText"/>
      </w:pPr>
      <w:r>
        <w:t xml:space="preserve">✅ Let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−</m:t>
            </m:r>
            <m:r>
              <m:t>θ</m:t>
            </m:r>
          </m:num>
          <m:den>
            <m:r>
              <m:rPr>
                <m:nor/>
                <m:sty m:val="p"/>
              </m:rPr>
              <m:t>se</m:t>
            </m:r>
            <m:r>
              <m:rPr>
                <m:sty m:val="p"/>
              </m:rPr>
              <m:t>(</m:t>
            </m:r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)</m:t>
            </m:r>
          </m:den>
        </m:f>
      </m:oMath>
      <w:r>
        <w:t xml:space="preserve">;</w:t>
      </w:r>
      <w:r>
        <w:t xml:space="preserve"> </w:t>
      </w:r>
      <w:r>
        <w:t xml:space="preserve">then</w:t>
      </w:r>
      <w:r>
        <w:t xml:space="preserve"> </w:t>
      </w:r>
      <m:oMath>
        <m:r>
          <m:t>z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1.96</m:t>
        </m:r>
        <m:r>
          <m:rPr>
            <m:sty m:val="p"/>
          </m:rPr>
          <m:t>)</m:t>
        </m:r>
      </m:oMath>
      <w:r>
        <w:t xml:space="preserve">.</w:t>
      </w:r>
    </w:p>
    <w:bookmarkEnd w:id="13"/>
    <w:p>
      <w:pPr>
        <w:pStyle w:val="FirstParagraph"/>
      </w:pPr>
      <w:r>
        <w:t xml:space="preserve">Finally,</w:t>
      </w:r>
      <w:r>
        <w:t xml:space="preserve"> </w:t>
      </w:r>
      <w:r>
        <w:t xml:space="preserve">a chain that compares three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quantities —</w:t>
      </w:r>
      <w:r>
        <w:t xml:space="preserve"> </w:t>
      </w:r>
      <w:r>
        <w:t xml:space="preserve">for example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3</m:t>
            </m:r>
          </m:sub>
        </m:sSub>
      </m:oMath>
      <w:r>
        <w:t xml:space="preserve"> </w:t>
      </w:r>
      <w:r>
        <w:t xml:space="preserve">—</w:t>
      </w:r>
      <w:r>
        <w:t xml:space="preserve"> </w:t>
      </w:r>
      <w:r>
        <w:t xml:space="preserve">is not a constraint on a single quantity,</w:t>
      </w:r>
      <w:r>
        <w:t xml:space="preserve"> </w:t>
      </w:r>
      <w:r>
        <w:t xml:space="preserve">so interval notation does not apply.</w:t>
      </w:r>
      <w:r>
        <w:t xml:space="preserve"> </w:t>
      </w:r>
      <w:r>
        <w:t xml:space="preserve">Write such comparisons as separate statements</w:t>
      </w:r>
      <w:r>
        <w:t xml:space="preserve"> </w:t>
      </w:r>
      <w:r>
        <w:t xml:space="preserve">(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&lt;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3</m:t>
            </m:r>
          </m:sub>
        </m:sSub>
      </m:oMath>
      <w:r>
        <w:t xml:space="preserve">)</w:t>
      </w:r>
      <w:r>
        <w:t xml:space="preserve"> </w:t>
      </w:r>
      <w:r>
        <w:t xml:space="preserve">unless the ordering of all three is the point you are making.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Mathematical notation</dc:title>
  <dc:creator/>
  <cp:keywords/>
  <dcterms:created xsi:type="dcterms:W3CDTF">2026-09-26T05:58:38Z</dcterms:created>
  <dcterms:modified xsi:type="dcterms:W3CDTF">2026-09-26T05:58:38Z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2026-09-26 05:55:30 (UTC)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