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 masking</w:t>
      </w:r>
    </w:p>
    <w:p>
      <w:pPr>
        <w:pStyle w:val="Date"/>
      </w:pPr>
      <w:r>
        <w:t xml:space="preserve">Last modified: 2026-10-31 04:53:06 (PDT)</w:t>
      </w:r>
    </w:p>
    <w:bookmarkStart w:id="15" w:name="sec-general-overview"/>
    <w:p>
      <w:pPr>
        <w:pStyle w:val="Heading2"/>
      </w:pPr>
      <w:r>
        <w:t xml:space="preserve">1 General Overview</w:t>
      </w:r>
    </w:p>
    <w:p>
      <w:pPr>
        <w:pStyle w:val="FirstParagraph"/>
      </w:pPr>
      <w:r>
        <w:t xml:space="preserve">This chapter covers data masking, a unique process in R in which columns are treated as distinct objects within their dataframe’s environment. In research code, data masking most frequently comes up when writing wrapper functions where arguments to indicate column names are supplied as strings. We often do this when we repeat the same code on multiple columns, and want to apply a function to a vector of strings that correspond to column names in a dataframe. For example, we might want to clean multiple columns using the same function or estimate the same model under different feature sets. Here, we try to break down what data masking is, why this error comes up, and common approaches to solve this problem.</w:t>
      </w:r>
    </w:p>
    <w:bookmarkStart w:id="13" w:name="what-is-data-masking"/>
    <w:p>
      <w:pPr>
        <w:pStyle w:val="Heading3"/>
      </w:pPr>
      <w:r>
        <w:t xml:space="preserve">1.1 What is Data Masking?</w:t>
      </w:r>
    </w:p>
    <w:p>
      <w:pPr>
        <w:pStyle w:val="FirstParagraph"/>
      </w:pPr>
      <w:r>
        <w:t xml:space="preserve">Within certain tidyverse operations, columns are called as if they were variables. For example, while running</w:t>
      </w:r>
      <w:r>
        <w:t xml:space="preserve"> </w:t>
      </w:r>
      <w:r>
        <w:rPr>
          <w:rStyle w:val="VerbatimChar"/>
        </w:rPr>
        <w:t xml:space="preserve">df |&gt; mutate(X = …)</w:t>
      </w:r>
      <w:r>
        <w:t xml:space="preserve"> </w:t>
      </w:r>
      <w:r>
        <w:t xml:space="preserve">R recognizes that</w:t>
      </w:r>
      <w:r>
        <w:t xml:space="preserve"> </w:t>
      </w:r>
      <w:r>
        <w:rPr>
          <w:rStyle w:val="VerbatimChar"/>
        </w:rPr>
        <w:t xml:space="preserve">X</w:t>
      </w:r>
      <w:r>
        <w:t xml:space="preserve"> </w:t>
      </w:r>
      <w:r>
        <w:t xml:space="preserve">specifically references a column in</w:t>
      </w:r>
      <w:r>
        <w:t xml:space="preserve"> </w:t>
      </w:r>
      <w:r>
        <w:rPr>
          <w:rStyle w:val="VerbatimChar"/>
        </w:rPr>
        <w:t xml:space="preserve">df</w:t>
      </w:r>
      <w:r>
        <w:t xml:space="preserve"> </w:t>
      </w:r>
      <w:r>
        <w:t xml:space="preserve">without explicitly stating its membership</w:t>
      </w:r>
      <w:r>
        <w:t xml:space="preserve"> </w:t>
      </w:r>
      <w:r>
        <w:rPr>
          <w:rStyle w:val="VerbatimChar"/>
        </w:rPr>
        <w:t xml:space="preserve">df |&gt; mutate(df$X = …)</w:t>
      </w:r>
      <w:r>
        <w:t xml:space="preserve"> </w:t>
      </w:r>
      <w:r>
        <w:t xml:space="preserve">or calling the column name as a string</w:t>
      </w:r>
      <w:r>
        <w:t xml:space="preserve"> </w:t>
      </w:r>
      <w:r>
        <w:rPr>
          <w:rStyle w:val="VerbatimChar"/>
        </w:rPr>
        <w:t xml:space="preserve">df |&gt; mutate("X" = …)</w:t>
      </w:r>
      <w:r>
        <w:t xml:space="preserve">.</w:t>
      </w:r>
    </w:p>
    <w:tbl>
      <w:tblPr>
        <w:tblStyle w:val="Table"/>
        <w:tblW w:type="pct" w:w="5000"/>
        <w:tblLayout w:type="fixed"/>
        <w:tblLook w:firstRow="0" w:lastRow="0" w:firstColumn="0" w:lastColumn="0" w:noHBand="0" w:noVBand="0" w:val="0000"/>
      </w:tblPr>
      <w:tblGrid>
        <w:gridCol w:w="7920"/>
      </w:tblGrid>
      <w:tr>
        <w:tc>
          <w:tcPr/>
          <w:bookmarkStart w:id="12" w:name="fig-data-masking"/>
          <w:p>
            <w:pPr>
              <w:pStyle w:val="Compact"/>
              <w:jc w:val="center"/>
            </w:pPr>
            <w:r>
              <w:drawing>
                <wp:inline>
                  <wp:extent cx="2667000" cy="1103368"/>
                  <wp:effectExtent b="0" l="0" r="0" t="0"/>
                  <wp:docPr descr="" title="" id="10" name="Picture"/>
                  <a:graphic>
                    <a:graphicData uri="http://schemas.openxmlformats.org/drawingml/2006/picture">
                      <pic:pic>
                        <pic:nvPicPr>
                          <pic:cNvPr descr="../assets/images/data-masking.PNG" id="11" name="Picture"/>
                          <pic:cNvPicPr>
                            <a:picLocks noChangeArrowheads="1" noChangeAspect="1"/>
                          </pic:cNvPicPr>
                        </pic:nvPicPr>
                        <pic:blipFill>
                          <a:blip r:embed="rId9"/>
                          <a:stretch>
                            <a:fillRect/>
                          </a:stretch>
                        </pic:blipFill>
                        <pic:spPr bwMode="auto">
                          <a:xfrm>
                            <a:off x="0" y="0"/>
                            <a:ext cx="2667000" cy="1103368"/>
                          </a:xfrm>
                          <a:prstGeom prst="rect">
                            <a:avLst/>
                          </a:prstGeom>
                          <a:noFill/>
                          <a:ln w="9525">
                            <a:noFill/>
                            <a:headEnd/>
                            <a:tailEnd/>
                          </a:ln>
                        </pic:spPr>
                      </pic:pic>
                    </a:graphicData>
                  </a:graphic>
                </wp:inline>
              </w:drawing>
            </w:r>
          </w:p>
          <w:p>
            <w:pPr>
              <w:jc w:val="center"/>
            </w:pPr>
            <w:pPr>
              <w:jc w:val="left"/>
              <w:spacing w:before="200"/>
              <w:pStyle w:val="ImageCaption"/>
            </w:pPr>
            <w:r>
              <w:t xml:space="preserve">Figure 1: Data masking in tidyverse operations</w:t>
            </w:r>
          </w:p>
          <w:bookmarkEnd w:id="12"/>
        </w:tc>
      </w:tr>
    </w:tbl>
    <w:p>
      <w:pPr>
        <w:pStyle w:val="BodyText"/>
      </w:pPr>
      <w:r>
        <w:t xml:space="preserve">However, this behavior may introduce errors when we attempt to incorporate variables from the global environment within these tidyverse pipelines. In the example shown in</w:t>
      </w:r>
      <w:r>
        <w:t xml:space="preserve"> </w:t>
      </w:r>
      <w:hyperlink w:anchor="fig-data-masking">
        <w:r>
          <w:rPr>
            <w:rStyle w:val="Hyperlink"/>
          </w:rPr>
          <w:t xml:space="preserve">Figure 1</w:t>
        </w:r>
      </w:hyperlink>
      <w:r>
        <w:t xml:space="preserve">,</w:t>
      </w:r>
      <w:r>
        <w:t xml:space="preserve"> </w:t>
      </w:r>
      <w:r>
        <w:rPr>
          <w:rStyle w:val="VerbatimChar"/>
        </w:rPr>
        <w:t xml:space="preserve">column_name = "X"</w:t>
      </w:r>
      <w:r>
        <w:t xml:space="preserve"> </w:t>
      </w:r>
      <w:r>
        <w:t xml:space="preserve">followed by</w:t>
      </w:r>
      <w:r>
        <w:t xml:space="preserve"> </w:t>
      </w:r>
      <w:r>
        <w:rPr>
          <w:rStyle w:val="VerbatimChar"/>
        </w:rPr>
        <w:t xml:space="preserve">df |&gt; mutate(X2 = column_name + 1)</w:t>
      </w:r>
      <w:r>
        <w:t xml:space="preserve"> </w:t>
      </w:r>
      <w:r>
        <w:t xml:space="preserve">would yield an error, since</w:t>
      </w:r>
      <w:r>
        <w:t xml:space="preserve"> </w:t>
      </w:r>
      <w:r>
        <w:rPr>
          <w:rStyle w:val="VerbatimChar"/>
        </w:rPr>
        <w:t xml:space="preserve">column_name</w:t>
      </w:r>
      <w:r>
        <w:t xml:space="preserve"> </w:t>
      </w:r>
      <w:r>
        <w:t xml:space="preserve">is not a column in</w:t>
      </w:r>
      <w:r>
        <w:t xml:space="preserve"> </w:t>
      </w:r>
      <w:r>
        <w:rPr>
          <w:rStyle w:val="VerbatimChar"/>
        </w:rPr>
        <w:t xml:space="preserve">df</w:t>
      </w:r>
      <w:r>
        <w:t xml:space="preserve"> </w:t>
      </w:r>
      <w:r>
        <w:t xml:space="preserve">and the variable</w:t>
      </w:r>
      <w:r>
        <w:t xml:space="preserve"> </w:t>
      </w:r>
      <w:r>
        <w:rPr>
          <w:rStyle w:val="VerbatimChar"/>
        </w:rPr>
        <w:t xml:space="preserve">column_name</w:t>
      </w:r>
      <w:r>
        <w:t xml:space="preserve"> </w:t>
      </w:r>
      <w:r>
        <w:t xml:space="preserve">is not defined within the environment of</w:t>
      </w:r>
      <w:r>
        <w:t xml:space="preserve"> </w:t>
      </w:r>
      <w:r>
        <w:rPr>
          <w:rStyle w:val="VerbatimChar"/>
        </w:rPr>
        <w:t xml:space="preserve">df</w:t>
      </w:r>
    </w:p>
    <w:bookmarkEnd w:id="13"/>
    <w:bookmarkStart w:id="14" w:name="using-tidy-evaluation-for-data-masking"/>
    <w:p>
      <w:pPr>
        <w:pStyle w:val="Heading3"/>
      </w:pPr>
      <w:r>
        <w:t xml:space="preserve">1.2 Using tidy evaluation for data masking</w:t>
      </w:r>
    </w:p>
    <w:p>
      <w:pPr>
        <w:pStyle w:val="FirstParagraph"/>
      </w:pPr>
      <w:r>
        <w:t xml:space="preserve">In dplyr-based R programming, we make use of tidy evaluation. This allows us to avoid using base R syntax to reference specific columns in a data frame. By leveraging Tidy evaluation-based data masking, we can employ long pipes with several dplyr verbs to manipulate our data using stand-alone variables that store column names as strings.</w:t>
      </w:r>
    </w:p>
    <w:p>
      <w:pPr>
        <w:pStyle w:val="BodyText"/>
      </w:pPr>
      <w:r>
        <w:t xml:space="preserve">For example, consider a data frame</w:t>
      </w:r>
      <w:r>
        <w:t xml:space="preserve"> </w:t>
      </w:r>
      <w:r>
        <w:t xml:space="preserve">“df”</w:t>
      </w:r>
      <w:r>
        <w:t xml:space="preserve"> </w:t>
      </w:r>
      <w:r>
        <w:t xml:space="preserve">that contains a column called</w:t>
      </w:r>
      <w:r>
        <w:t xml:space="preserve"> </w:t>
      </w:r>
      <w:r>
        <w:t xml:space="preserve">“heavyrain”</w:t>
      </w:r>
      <w:r>
        <w:t xml:space="preserve"> </w:t>
      </w:r>
      <w:r>
        <w:t xml:space="preserve">that we want to manipulate. Suppose we wanted to convert the values of</w:t>
      </w:r>
      <w:r>
        <w:t xml:space="preserve"> </w:t>
      </w:r>
      <w:r>
        <w:t xml:space="preserve">“heavyrain”</w:t>
      </w:r>
      <w:r>
        <w:t xml:space="preserve"> </w:t>
      </w:r>
      <w:r>
        <w:t xml:space="preserve">into a factor.</w:t>
      </w:r>
    </w:p>
    <w:p>
      <w:pPr>
        <w:pStyle w:val="BodyText"/>
      </w:pPr>
      <w:r>
        <w:t xml:space="preserve">Using base R, which does not mask data, heavyrain must have quotes to be treated as a data-variable:</w:t>
      </w:r>
    </w:p>
    <w:p>
      <w:pPr>
        <w:pStyle w:val="SourceCode"/>
      </w:pPr>
      <w:r>
        <w:rPr>
          <w:rStyle w:val="NormalTok"/>
        </w:rPr>
        <w:t xml:space="preserve">df[[</w:t>
      </w:r>
      <w:r>
        <w:rPr>
          <w:rStyle w:val="StringTok"/>
        </w:rPr>
        <w:t xml:space="preserve">"outcome"</w:t>
      </w:r>
      <w:r>
        <w:rPr>
          <w:rStyle w:val="NormalTok"/>
        </w:rPr>
        <w:t xml:space="preserve">]] </w:t>
      </w:r>
      <w:r>
        <w:rPr>
          <w:rStyle w:val="OtherTok"/>
        </w:rPr>
        <w:t xml:space="preserve">=</w:t>
      </w:r>
      <w:r>
        <w:rPr>
          <w:rStyle w:val="NormalTok"/>
        </w:rPr>
        <w:t xml:space="preserve"> </w:t>
      </w:r>
      <w:r>
        <w:rPr>
          <w:rStyle w:val="FunctionTok"/>
        </w:rPr>
        <w:t xml:space="preserve">as.factor</w:t>
      </w:r>
      <w:r>
        <w:rPr>
          <w:rStyle w:val="NormalTok"/>
        </w:rPr>
        <w:t xml:space="preserve">(df[[</w:t>
      </w:r>
      <w:r>
        <w:rPr>
          <w:rStyle w:val="StringTok"/>
        </w:rPr>
        <w:t xml:space="preserve">"heavyrain"</w:t>
      </w:r>
      <w:r>
        <w:rPr>
          <w:rStyle w:val="NormalTok"/>
        </w:rPr>
        <w:t xml:space="preserve">]])</w:t>
      </w:r>
    </w:p>
    <w:p>
      <w:pPr>
        <w:pStyle w:val="FirstParagraph"/>
      </w:pPr>
      <w:r>
        <w:t xml:space="preserve">In a dplyr pipe, heavyrain is being masked using tidy evaluation and will be correctly interpreted as a column because it is recognized as a data-variable:</w:t>
      </w:r>
    </w:p>
    <w:p>
      <w:pPr>
        <w:pStyle w:val="SourceCode"/>
      </w:pPr>
      <w:r>
        <w:rPr>
          <w:rStyle w:val="NormalTok"/>
        </w:rPr>
        <w:t xml:space="preserve">df </w:t>
      </w:r>
      <w:r>
        <w:rPr>
          <w:rStyle w:val="SpecialCharTok"/>
        </w:rPr>
        <w:t xml:space="preserve">|&gt;</w:t>
      </w:r>
      <w:r>
        <w:rPr>
          <w:rStyle w:val="NormalTok"/>
        </w:rPr>
        <w:t xml:space="preserve"> </w:t>
      </w:r>
      <w:r>
        <w:rPr>
          <w:rStyle w:val="FunctionTok"/>
        </w:rPr>
        <w:t xml:space="preserve">mutate</w:t>
      </w:r>
      <w:r>
        <w:rPr>
          <w:rStyle w:val="NormalTok"/>
        </w:rPr>
        <w:t xml:space="preserve">(</w:t>
      </w:r>
      <w:r>
        <w:rPr>
          <w:rStyle w:val="AttributeTok"/>
        </w:rPr>
        <w:t xml:space="preserve">outcome =</w:t>
      </w:r>
      <w:r>
        <w:rPr>
          <w:rStyle w:val="NormalTok"/>
        </w:rPr>
        <w:t xml:space="preserve"> </w:t>
      </w:r>
      <w:r>
        <w:rPr>
          <w:rStyle w:val="FunctionTok"/>
        </w:rPr>
        <w:t xml:space="preserve">as.factor</w:t>
      </w:r>
      <w:r>
        <w:rPr>
          <w:rStyle w:val="NormalTok"/>
        </w:rPr>
        <w:t xml:space="preserve">(heavyrain))</w:t>
      </w:r>
    </w:p>
    <w:p>
      <w:pPr>
        <w:pStyle w:val="FirstParagraph"/>
      </w:pPr>
      <w:r>
        <w:t xml:space="preserve">With modified data masking, heavyrain is a string that is coerced into being recognized as a data-variable:</w:t>
      </w:r>
    </w:p>
    <w:p>
      <w:pPr>
        <w:pStyle w:val="SourceCode"/>
      </w:pPr>
      <w:r>
        <w:rPr>
          <w:rStyle w:val="NormalTok"/>
        </w:rPr>
        <w:t xml:space="preserve">var_name </w:t>
      </w:r>
      <w:r>
        <w:rPr>
          <w:rStyle w:val="OtherTok"/>
        </w:rPr>
        <w:t xml:space="preserve">=</w:t>
      </w:r>
      <w:r>
        <w:rPr>
          <w:rStyle w:val="NormalTok"/>
        </w:rPr>
        <w:t xml:space="preserve"> </w:t>
      </w:r>
      <w:r>
        <w:rPr>
          <w:rStyle w:val="StringTok"/>
        </w:rPr>
        <w:t xml:space="preserve">"heavyrain"</w:t>
      </w:r>
      <w:r>
        <w:br/>
      </w:r>
      <w:r>
        <w:rPr>
          <w:rStyle w:val="NormalTok"/>
        </w:rPr>
        <w:t xml:space="preserve">df </w:t>
      </w:r>
      <w:r>
        <w:rPr>
          <w:rStyle w:val="SpecialCharTok"/>
        </w:rPr>
        <w:t xml:space="preserve">|&gt;</w:t>
      </w:r>
      <w:r>
        <w:rPr>
          <w:rStyle w:val="NormalTok"/>
        </w:rPr>
        <w:t xml:space="preserve"> </w:t>
      </w:r>
      <w:r>
        <w:rPr>
          <w:rStyle w:val="FunctionTok"/>
        </w:rPr>
        <w:t xml:space="preserve">mutate</w:t>
      </w:r>
      <w:r>
        <w:rPr>
          <w:rStyle w:val="NormalTok"/>
        </w:rPr>
        <w:t xml:space="preserve">(</w:t>
      </w:r>
      <w:r>
        <w:rPr>
          <w:rStyle w:val="AttributeTok"/>
        </w:rPr>
        <w:t xml:space="preserve">outcome =</w:t>
      </w:r>
      <w:r>
        <w:rPr>
          <w:rStyle w:val="NormalTok"/>
        </w:rPr>
        <w:t xml:space="preserve"> </w:t>
      </w:r>
      <w:r>
        <w:rPr>
          <w:rStyle w:val="FunctionTok"/>
        </w:rPr>
        <w:t xml:space="preserve">as.factor</w:t>
      </w:r>
      <w:r>
        <w:rPr>
          <w:rStyle w:val="NormalTok"/>
        </w:rPr>
        <w:t xml:space="preserve">(</w:t>
      </w:r>
      <w:r>
        <w:rPr>
          <w:rStyle w:val="SpecialCharTok"/>
        </w:rPr>
        <w:t xml:space="preserve">!!</w:t>
      </w:r>
      <w:r>
        <w:rPr>
          <w:rStyle w:val="FunctionTok"/>
        </w:rPr>
        <w:t xml:space="preserve">sym</w:t>
      </w:r>
      <w:r>
        <w:rPr>
          <w:rStyle w:val="NormalTok"/>
        </w:rPr>
        <w:t xml:space="preserve">(var_name)))</w:t>
      </w:r>
    </w:p>
    <w:p>
      <w:pPr>
        <w:pStyle w:val="FirstParagraph"/>
      </w:pPr>
      <w:r>
        <w:t xml:space="preserve">While cleaner and often more convenient, the data frame that</w:t>
      </w:r>
      <w:r>
        <w:t xml:space="preserve"> </w:t>
      </w:r>
      <w:r>
        <w:rPr>
          <w:rStyle w:val="VerbatimChar"/>
        </w:rPr>
        <w:t xml:space="preserve">var_name</w:t>
      </w:r>
      <w:r>
        <w:t xml:space="preserve"> </w:t>
      </w:r>
      <w:r>
        <w:t xml:space="preserve">is in is now</w:t>
      </w:r>
      <w:r>
        <w:t xml:space="preserve"> </w:t>
      </w:r>
      <w:r>
        <w:t xml:space="preserve">“masked”</w:t>
      </w:r>
      <w:r>
        <w:t xml:space="preserve"> </w:t>
      </w:r>
      <w:r>
        <w:t xml:space="preserve">and we refer to the vectors in the dataframe (data-variables) as though they were objects of their own (environmental-variables). This is why we can just say the variable’s name in the context of a pipe – we treat it as though it’s an object defined in our environment. Within normal scripts, this is usually fine, because the data frame is</w:t>
      </w:r>
      <w:r>
        <w:t xml:space="preserve"> </w:t>
      </w:r>
      <w:r>
        <w:t xml:space="preserve">“held on to”</w:t>
      </w:r>
      <w:r>
        <w:t xml:space="preserve"> </w:t>
      </w:r>
      <w:r>
        <w:t xml:space="preserve">in the pipe. However, it can cause some programming hurdles when writing functions that take strings of variable/column names as arguments. In the next section, we briefly describe how to troubleshoot common errors in data masking, as relevant to research code.</w:t>
      </w:r>
    </w:p>
    <w:bookmarkEnd w:id="14"/>
    <w:bookmarkEnd w:id="15"/>
    <w:bookmarkStart w:id="28" w:name="sec-data-masking-vs-tidy-selection"/>
    <w:p>
      <w:pPr>
        <w:pStyle w:val="Heading2"/>
      </w:pPr>
      <w:r>
        <w:t xml:space="preserve">2 Data masking vs. tidy selection</w:t>
      </w:r>
    </w:p>
    <w:p>
      <w:pPr>
        <w:pStyle w:val="FirstParagraph"/>
      </w:pPr>
      <w:r>
        <w:t xml:space="preserve">Many</w:t>
      </w:r>
      <w:r>
        <w:t xml:space="preserve"> </w:t>
      </w:r>
      <w:hyperlink r:id="rId16">
        <w:r>
          <w:rPr>
            <w:rStyle w:val="VerbatimChar"/>
          </w:rPr>
          <w:t xml:space="preserve">{tidyverse}</w:t>
        </w:r>
      </w:hyperlink>
      <w:r>
        <w:t xml:space="preserve"> </w:t>
      </w:r>
      <w:r>
        <w:t xml:space="preserve">verbs use</w:t>
      </w:r>
      <w:r>
        <w:t xml:space="preserve"> </w:t>
      </w:r>
      <w:r>
        <w:rPr>
          <w:i/>
          <w:iCs/>
        </w:rPr>
        <w:t xml:space="preserve">two</w:t>
      </w:r>
      <w:r>
        <w:t xml:space="preserve"> </w:t>
      </w:r>
      <w:r>
        <w:t xml:space="preserve">different flavors of tidy evaluation,</w:t>
      </w:r>
      <w:r>
        <w:t xml:space="preserve"> </w:t>
      </w:r>
      <w:r>
        <w:t xml:space="preserve">and the way you refer to a column stored in a string variable depends on which one you are in.</w:t>
      </w:r>
    </w:p>
    <w:p>
      <w:pPr>
        <w:pStyle w:val="Compact"/>
        <w:numPr>
          <w:ilvl w:val="0"/>
          <w:numId w:val="1001"/>
        </w:numPr>
      </w:pPr>
      <w:r>
        <w:rPr>
          <w:b/>
          <w:bCs/>
        </w:rPr>
        <w:t xml:space="preserve">Data-masking</w:t>
      </w:r>
      <w:r>
        <w:t xml:space="preserve"> </w:t>
      </w:r>
      <w:r>
        <w:t xml:space="preserve">contexts treat column names as values you compute</w:t>
      </w:r>
      <w:r>
        <w:t xml:space="preserve"> </w:t>
      </w:r>
      <w:r>
        <w:rPr>
          <w:i/>
          <w:iCs/>
        </w:rPr>
        <w:t xml:space="preserve">with</w:t>
      </w:r>
      <w:r>
        <w:t xml:space="preserve">:</w:t>
      </w:r>
      <w:r>
        <w:t xml:space="preserve"> </w:t>
      </w:r>
      <w:r>
        <w:t xml:space="preserve">the</w:t>
      </w:r>
      <w:r>
        <w:t xml:space="preserve"> </w:t>
      </w:r>
      <w:hyperlink r:id="rId17">
        <w:r>
          <w:rPr>
            <w:rStyle w:val="VerbatimChar"/>
          </w:rPr>
          <w:t xml:space="preserve">{dplyr}</w:t>
        </w:r>
      </w:hyperlink>
      <w:r>
        <w:t xml:space="preserve"> </w:t>
      </w:r>
      <w:r>
        <w:t xml:space="preserve">verbs</w:t>
      </w:r>
      <w:r>
        <w:t xml:space="preserve"> </w:t>
      </w:r>
      <w:r>
        <w:rPr>
          <w:rStyle w:val="VerbatimChar"/>
        </w:rPr>
        <w:t xml:space="preserve">mutate()</w:t>
      </w:r>
      <w:r>
        <w:t xml:space="preserve">,</w:t>
      </w:r>
      <w:r>
        <w:t xml:space="preserve"> </w:t>
      </w:r>
      <w:r>
        <w:rPr>
          <w:rStyle w:val="VerbatimChar"/>
        </w:rPr>
        <w:t xml:space="preserve">filter()</w:t>
      </w:r>
      <w:r>
        <w:t xml:space="preserve">,</w:t>
      </w:r>
      <w:r>
        <w:t xml:space="preserve"> </w:t>
      </w:r>
      <w:r>
        <w:rPr>
          <w:rStyle w:val="VerbatimChar"/>
        </w:rPr>
        <w:t xml:space="preserve">summarize()</w:t>
      </w:r>
      <w:r>
        <w:t xml:space="preserve">/</w:t>
      </w:r>
      <w:r>
        <w:rPr>
          <w:rStyle w:val="VerbatimChar"/>
        </w:rPr>
        <w:t xml:space="preserve">summarise()</w:t>
      </w:r>
      <w:r>
        <w:t xml:space="preserve"> </w:t>
      </w:r>
      <w:r>
        <w:t xml:space="preserve">(the summary expressions),</w:t>
      </w:r>
      <w:r>
        <w:t xml:space="preserve"> </w:t>
      </w:r>
      <w:r>
        <w:rPr>
          <w:rStyle w:val="VerbatimChar"/>
        </w:rPr>
        <w:t xml:space="preserve">group_by()</w:t>
      </w:r>
      <w:r>
        <w:t xml:space="preserve">, and</w:t>
      </w:r>
      <w:r>
        <w:t xml:space="preserve"> </w:t>
      </w:r>
      <w:r>
        <w:rPr>
          <w:rStyle w:val="VerbatimChar"/>
        </w:rPr>
        <w:t xml:space="preserve">arrange()</w:t>
      </w:r>
      <w:r>
        <w:t xml:space="preserve">,</w:t>
      </w:r>
      <w:r>
        <w:t xml:space="preserve"> </w:t>
      </w:r>
      <w:r>
        <w:t xml:space="preserve">plus</w:t>
      </w:r>
      <w:r>
        <w:t xml:space="preserve"> </w:t>
      </w:r>
      <w:r>
        <w:rPr>
          <w:rStyle w:val="VerbatimChar"/>
        </w:rPr>
        <w:t xml:space="preserve">aes()</w:t>
      </w:r>
      <w:r>
        <w:t xml:space="preserve"> </w:t>
      </w:r>
      <w:r>
        <w:t xml:space="preserve">in</w:t>
      </w:r>
      <w:r>
        <w:t xml:space="preserve"> </w:t>
      </w:r>
      <w:hyperlink r:id="rId18">
        <w:r>
          <w:rPr>
            <w:rStyle w:val="VerbatimChar"/>
          </w:rPr>
          <w:t xml:space="preserve">{ggplot2}</w:t>
        </w:r>
      </w:hyperlink>
      <w:r>
        <w:t xml:space="preserve">.</w:t>
      </w:r>
    </w:p>
    <w:p>
      <w:pPr>
        <w:pStyle w:val="Compact"/>
        <w:numPr>
          <w:ilvl w:val="0"/>
          <w:numId w:val="1001"/>
        </w:numPr>
      </w:pPr>
      <w:r>
        <w:rPr>
          <w:b/>
          <w:bCs/>
        </w:rPr>
        <w:t xml:space="preserve">Tidy-selection</w:t>
      </w:r>
      <w:r>
        <w:t xml:space="preserve"> </w:t>
      </w:r>
      <w:r>
        <w:t xml:space="preserve">contexts treat column names as columns you</w:t>
      </w:r>
      <w:r>
        <w:t xml:space="preserve"> </w:t>
      </w:r>
      <w:r>
        <w:rPr>
          <w:i/>
          <w:iCs/>
        </w:rPr>
        <w:t xml:space="preserve">choose</w:t>
      </w:r>
      <w:r>
        <w:t xml:space="preserve">:</w:t>
      </w:r>
      <w:r>
        <w:t xml:space="preserve"> </w:t>
      </w:r>
      <w:r>
        <w:rPr>
          <w:rStyle w:val="VerbatimChar"/>
        </w:rPr>
        <w:t xml:space="preserve">select()</w:t>
      </w:r>
      <w:r>
        <w:t xml:space="preserve">,</w:t>
      </w:r>
      <w:r>
        <w:t xml:space="preserve"> </w:t>
      </w:r>
      <w:r>
        <w:rPr>
          <w:rStyle w:val="VerbatimChar"/>
        </w:rPr>
        <w:t xml:space="preserve">rename()</w:t>
      </w:r>
      <w:r>
        <w:t xml:space="preserve">,</w:t>
      </w:r>
      <w:r>
        <w:t xml:space="preserve"> </w:t>
      </w:r>
      <w:r>
        <w:rPr>
          <w:rStyle w:val="VerbatimChar"/>
        </w:rPr>
        <w:t xml:space="preserve">relocate()</w:t>
      </w:r>
      <w:r>
        <w:t xml:space="preserve">,</w:t>
      </w:r>
      <w:r>
        <w:t xml:space="preserve"> </w:t>
      </w:r>
      <w:r>
        <w:rPr>
          <w:rStyle w:val="VerbatimChar"/>
        </w:rPr>
        <w:t xml:space="preserve">pull()</w:t>
      </w:r>
      <w:r>
        <w:t xml:space="preserve">,</w:t>
      </w:r>
      <w:r>
        <w:t xml:space="preserve"> </w:t>
      </w:r>
      <w:r>
        <w:t xml:space="preserve">the</w:t>
      </w:r>
      <w:r>
        <w:t xml:space="preserve"> </w:t>
      </w:r>
      <w:r>
        <w:rPr>
          <w:rStyle w:val="VerbatimChar"/>
        </w:rPr>
        <w:t xml:space="preserve">.cols</w:t>
      </w:r>
      <w:r>
        <w:t xml:space="preserve"> </w:t>
      </w:r>
      <w:r>
        <w:t xml:space="preserve">argument of</w:t>
      </w:r>
      <w:r>
        <w:t xml:space="preserve"> </w:t>
      </w:r>
      <w:r>
        <w:rPr>
          <w:rStyle w:val="VerbatimChar"/>
        </w:rPr>
        <w:t xml:space="preserve">across()</w:t>
      </w:r>
      <w:r>
        <w:t xml:space="preserve">,</w:t>
      </w:r>
      <w:r>
        <w:t xml:space="preserve"> </w:t>
      </w:r>
      <w:r>
        <w:t xml:space="preserve">the</w:t>
      </w:r>
      <w:r>
        <w:t xml:space="preserve"> </w:t>
      </w:r>
      <w:r>
        <w:rPr>
          <w:rStyle w:val="VerbatimChar"/>
        </w:rPr>
        <w:t xml:space="preserve">.by</w:t>
      </w:r>
      <w:r>
        <w:t xml:space="preserve"> </w:t>
      </w:r>
      <w:r>
        <w:t xml:space="preserve">argument of</w:t>
      </w:r>
      <w:r>
        <w:t xml:space="preserve"> </w:t>
      </w:r>
      <w:r>
        <w:rPr>
          <w:rStyle w:val="VerbatimChar"/>
        </w:rPr>
        <w:t xml:space="preserve">mutate()</w:t>
      </w:r>
      <w:r>
        <w:t xml:space="preserve">/</w:t>
      </w:r>
      <w:r>
        <w:rPr>
          <w:rStyle w:val="VerbatimChar"/>
        </w:rPr>
        <w:t xml:space="preserve">summarize()</w:t>
      </w:r>
      <w:r>
        <w:t xml:space="preserve">,</w:t>
      </w:r>
      <w:r>
        <w:t xml:space="preserve"> </w:t>
      </w:r>
      <w:r>
        <w:t xml:space="preserve">and the</w:t>
      </w:r>
      <w:r>
        <w:t xml:space="preserve"> </w:t>
      </w:r>
      <w:r>
        <w:rPr>
          <w:rStyle w:val="VerbatimChar"/>
        </w:rPr>
        <w:t xml:space="preserve">cols</w:t>
      </w:r>
      <w:r>
        <w:t xml:space="preserve">,</w:t>
      </w:r>
      <w:r>
        <w:t xml:space="preserve"> </w:t>
      </w:r>
      <w:r>
        <w:rPr>
          <w:rStyle w:val="VerbatimChar"/>
        </w:rPr>
        <w:t xml:space="preserve">names_from</w:t>
      </w:r>
      <w:r>
        <w:t xml:space="preserve">,</w:t>
      </w:r>
      <w:r>
        <w:t xml:space="preserve"> </w:t>
      </w:r>
      <w:r>
        <w:rPr>
          <w:rStyle w:val="VerbatimChar"/>
        </w:rPr>
        <w:t xml:space="preserve">values_from</w:t>
      </w:r>
      <w:r>
        <w:t xml:space="preserve">, and</w:t>
      </w:r>
      <w:r>
        <w:t xml:space="preserve"> </w:t>
      </w:r>
      <w:r>
        <w:rPr>
          <w:rStyle w:val="VerbatimChar"/>
        </w:rPr>
        <w:t xml:space="preserve">id_cols</w:t>
      </w:r>
      <w:r>
        <w:t xml:space="preserve"> </w:t>
      </w:r>
      <w:r>
        <w:t xml:space="preserve">arguments of</w:t>
      </w:r>
      <w:r>
        <w:t xml:space="preserve"> </w:t>
      </w:r>
      <w:r>
        <w:rPr>
          <w:rStyle w:val="VerbatimChar"/>
        </w:rPr>
        <w:t xml:space="preserve">pivot_*()</w:t>
      </w:r>
      <w:r>
        <w:t xml:space="preserve"> </w:t>
      </w:r>
      <w:r>
        <w:t xml:space="preserve">in</w:t>
      </w:r>
      <w:r>
        <w:t xml:space="preserve"> </w:t>
      </w:r>
      <w:hyperlink r:id="rId19">
        <w:r>
          <w:rPr>
            <w:rStyle w:val="VerbatimChar"/>
          </w:rPr>
          <w:t xml:space="preserve">{tidyr}</w:t>
        </w:r>
      </w:hyperlink>
      <w:r>
        <w:t xml:space="preserve">.</w:t>
      </w:r>
    </w:p>
    <w:p>
      <w:pPr>
        <w:pStyle w:val="FirstParagraph"/>
      </w:pPr>
      <w:r>
        <w:t xml:space="preserve">To refer to a column named by a string variable,</w:t>
      </w:r>
      <w:r>
        <w:t xml:space="preserve"> </w:t>
      </w:r>
      <w:r>
        <w:t xml:space="preserve">use the tool that matches the context:</w:t>
      </w:r>
    </w:p>
    <w:tbl>
      <w:tblPr>
        <w:tblStyle w:val="Table"/>
        <w:tblW w:type="pct" w:w="5000"/>
        <w:tblLayout w:type="fixed"/>
        <w:tblLook w:firstRow="0" w:lastRow="0" w:firstColumn="0" w:lastColumn="0" w:noHBand="0" w:noVBand="0" w:val="0000"/>
      </w:tblPr>
      <w:tblGrid>
        <w:gridCol w:w="7920"/>
      </w:tblGrid>
      <w:tr>
        <w:tc>
          <w:tcPr/>
          <w:bookmarkStart w:id="20" w:name="tbl-masking-selection"/>
          <w:p>
            <w:pPr>
              <w:jc w:val="center"/>
            </w:pPr>
            <w:pPr>
              <w:jc w:val="left"/>
              <w:spacing w:before="200"/>
              <w:pStyle w:val="ImageCaption"/>
            </w:pPr>
            <w:r>
              <w:t xml:space="preserve">Table 1: Referring to a column named by a string variable</w:t>
            </w:r>
          </w:p>
          <w:tbl>
            <w:tblPr>
              <w:tblStyle w:val="Table"/>
              <w:tblW w:type="pct" w:w="5000"/>
              <w:tblLayout w:type="fixed"/>
              <w:tblLook w:firstRow="1" w:lastRow="0" w:firstColumn="0" w:lastColumn="0" w:noHBand="0" w:noVBand="0" w:val="0020"/>
            </w:tblPr>
            <w:tblGrid>
              <w:gridCol w:w="3394"/>
              <w:gridCol w:w="1885"/>
              <w:gridCol w:w="2640"/>
            </w:tblGrid>
            <w:tr>
              <w:trPr>
                <w:tblHeader w:val="on"/>
              </w:trPr>
              <w:tc>
                <w:tcPr/>
                <w:p>
                  <w:pPr>
                    <w:pStyle w:val="Compact"/>
                    <w:jc w:val="center"/>
                  </w:pPr>
                  <w:r>
                    <w:t xml:space="preserve">Context</w:t>
                  </w:r>
                </w:p>
              </w:tc>
              <w:tc>
                <w:tcPr/>
                <w:p>
                  <w:pPr>
                    <w:pStyle w:val="Compact"/>
                    <w:jc w:val="center"/>
                  </w:pPr>
                  <w:r>
                    <w:t xml:space="preserve">Use</w:t>
                  </w:r>
                </w:p>
              </w:tc>
              <w:tc>
                <w:tcPr/>
                <w:p>
                  <w:pPr>
                    <w:pStyle w:val="Compact"/>
                    <w:jc w:val="center"/>
                  </w:pPr>
                  <w:r>
                    <w:t xml:space="preserve">Avoid</w:t>
                  </w:r>
                </w:p>
              </w:tc>
            </w:tr>
            <w:tr>
              <w:tc>
                <w:tcPr/>
                <w:p>
                  <w:pPr>
                    <w:pStyle w:val="Compact"/>
                    <w:jc w:val="center"/>
                  </w:pPr>
                  <w:r>
                    <w:t xml:space="preserve">Data-masking</w:t>
                  </w:r>
                </w:p>
              </w:tc>
              <w:tc>
                <w:tcPr/>
                <w:p>
                  <w:pPr>
                    <w:pStyle w:val="Compact"/>
                    <w:jc w:val="center"/>
                  </w:pPr>
                  <w:r>
                    <w:rPr>
                      <w:rStyle w:val="VerbatimChar"/>
                    </w:rPr>
                    <w:t xml:space="preserve">!!sym(var)</w:t>
                  </w:r>
                  <w:r>
                    <w:t xml:space="preserve"> </w:t>
                  </w:r>
                  <w:r>
                    <w:t xml:space="preserve">or</w:t>
                  </w:r>
                  <w:r>
                    <w:t xml:space="preserve"> </w:t>
                  </w:r>
                  <w:r>
                    <w:rPr>
                      <w:rStyle w:val="VerbatimChar"/>
                    </w:rPr>
                    <w:t xml:space="preserve">.data[[var]]</w:t>
                  </w:r>
                </w:p>
              </w:tc>
              <w:tc>
                <w:tcPr/>
                <w:p>
                  <w:pPr>
                    <w:pStyle w:val="Compact"/>
                    <w:jc w:val="center"/>
                  </w:pPr>
                  <w:r>
                    <w:t xml:space="preserve">bare</w:t>
                  </w:r>
                  <w:r>
                    <w:t xml:space="preserve"> </w:t>
                  </w:r>
                  <w:r>
                    <w:rPr>
                      <w:rStyle w:val="VerbatimChar"/>
                    </w:rPr>
                    <w:t xml:space="preserve">var</w:t>
                  </w:r>
                  <w:r>
                    <w:t xml:space="preserve"> </w:t>
                  </w:r>
                  <w:r>
                    <w:t xml:space="preserve">(uses the string value itself, not the column it names)</w:t>
                  </w:r>
                </w:p>
              </w:tc>
            </w:tr>
            <w:tr>
              <w:tc>
                <w:tcPr/>
                <w:p>
                  <w:pPr>
                    <w:pStyle w:val="Compact"/>
                    <w:jc w:val="center"/>
                  </w:pPr>
                  <w:r>
                    <w:t xml:space="preserve">Tidy-selection</w:t>
                  </w:r>
                </w:p>
              </w:tc>
              <w:tc>
                <w:tcPr/>
                <w:p>
                  <w:pPr>
                    <w:pStyle w:val="Compact"/>
                    <w:jc w:val="center"/>
                  </w:pPr>
                  <w:r>
                    <w:rPr>
                      <w:rStyle w:val="VerbatimChar"/>
                    </w:rPr>
                    <w:t xml:space="preserve">all_of(var)</w:t>
                  </w:r>
                  <w:r>
                    <w:t xml:space="preserve"> </w:t>
                  </w:r>
                  <w:r>
                    <w:t xml:space="preserve">/</w:t>
                  </w:r>
                  <w:r>
                    <w:t xml:space="preserve"> </w:t>
                  </w:r>
                  <w:r>
                    <w:rPr>
                      <w:rStyle w:val="VerbatimChar"/>
                    </w:rPr>
                    <w:t xml:space="preserve">any_of(var)</w:t>
                  </w:r>
                </w:p>
              </w:tc>
              <w:tc>
                <w:tcPr/>
                <w:p>
                  <w:pPr>
                    <w:pStyle w:val="Compact"/>
                    <w:jc w:val="center"/>
                  </w:pPr>
                  <w:r>
                    <w:t xml:space="preserve">the</w:t>
                  </w:r>
                  <w:r>
                    <w:t xml:space="preserve"> </w:t>
                  </w:r>
                  <w:r>
                    <w:rPr>
                      <w:rStyle w:val="VerbatimChar"/>
                    </w:rPr>
                    <w:t xml:space="preserve">.data</w:t>
                  </w:r>
                  <w:r>
                    <w:t xml:space="preserve"> </w:t>
                  </w:r>
                  <w:r>
                    <w:t xml:space="preserve">pronoun (</w:t>
                  </w:r>
                  <w:r>
                    <w:rPr>
                      <w:rStyle w:val="VerbatimChar"/>
                    </w:rPr>
                    <w:t xml:space="preserve">.data[[var]]</w:t>
                  </w:r>
                  <w:r>
                    <w:t xml:space="preserve">,</w:t>
                  </w:r>
                  <w:r>
                    <w:t xml:space="preserve"> </w:t>
                  </w:r>
                  <w:r>
                    <w:rPr>
                      <w:rStyle w:val="VerbatimChar"/>
                    </w:rPr>
                    <w:t xml:space="preserve">.data$col</w:t>
                  </w:r>
                  <w:r>
                    <w:t xml:space="preserve">)</w:t>
                  </w:r>
                </w:p>
              </w:tc>
            </w:tr>
          </w:tbl>
          <w:bookmarkEnd w:id="20"/>
          <w:p/>
        </w:tc>
      </w:tr>
    </w:tbl>
    <w:p>
      <w:pPr>
        <w:pStyle w:val="BodyText"/>
      </w:pPr>
      <w:r>
        <w:t xml:space="preserve">Use</w:t>
      </w:r>
      <w:r>
        <w:t xml:space="preserve"> </w:t>
      </w:r>
      <w:r>
        <w:rPr>
          <w:rStyle w:val="VerbatimChar"/>
        </w:rPr>
        <w:t xml:space="preserve">all_of()</w:t>
      </w:r>
      <w:r>
        <w:t xml:space="preserve"> </w:t>
      </w:r>
      <w:r>
        <w:t xml:space="preserve">when every selected name must exist (it errors if one is missing)</w:t>
      </w:r>
      <w:r>
        <w:t xml:space="preserve"> </w:t>
      </w:r>
      <w:r>
        <w:t xml:space="preserve">and</w:t>
      </w:r>
      <w:r>
        <w:t xml:space="preserve"> </w:t>
      </w:r>
      <w:r>
        <w:rPr>
          <w:rStyle w:val="VerbatimChar"/>
        </w:rPr>
        <w:t xml:space="preserve">any_of()</w:t>
      </w:r>
      <w:r>
        <w:t xml:space="preserve"> </w:t>
      </w:r>
      <w:r>
        <w:t xml:space="preserve">when names that are absent should simply be dropped.</w:t>
      </w:r>
    </w:p>
    <w:bookmarkStart w:id="27" w:name="X118ff09008793bb586a8982fedb3eb2b41d1fc5"/>
    <w:p>
      <w:pPr>
        <w:pStyle w:val="Heading3"/>
      </w:pPr>
      <w:r>
        <w:t xml:space="preserve">2.1 The</w:t>
      </w:r>
      <w:r>
        <w:t xml:space="preserve"> </w:t>
      </w:r>
      <w:r>
        <w:rPr>
          <w:rStyle w:val="VerbatimChar"/>
        </w:rPr>
        <w:t xml:space="preserve">.data</w:t>
      </w:r>
      <w:r>
        <w:t xml:space="preserve"> </w:t>
      </w:r>
      <w:r>
        <w:t xml:space="preserve">pronoun does not belong in tidy selection</w:t>
      </w:r>
    </w:p>
    <w:p>
      <w:pPr>
        <w:pStyle w:val="FirstParagraph"/>
      </w:pPr>
      <w:r>
        <w:t xml:space="preserve">A common (and</w:t>
      </w:r>
      <w:r>
        <w:t xml:space="preserve"> </w:t>
      </w:r>
      <w:r>
        <w:rPr>
          <w:b/>
          <w:bCs/>
        </w:rPr>
        <w:t xml:space="preserve">silent</w:t>
      </w:r>
      <w:r>
        <w:t xml:space="preserve">) mistake is reaching for the</w:t>
      </w:r>
      <w:r>
        <w:t xml:space="preserve"> </w:t>
      </w:r>
      <w:r>
        <w:rPr>
          <w:rStyle w:val="VerbatimChar"/>
        </w:rPr>
        <w:t xml:space="preserve">.data</w:t>
      </w:r>
      <w:r>
        <w:t xml:space="preserve"> </w:t>
      </w:r>
      <w:r>
        <w:t xml:space="preserve">pronoun</w:t>
      </w:r>
      <w:r>
        <w:t xml:space="preserve"> </w:t>
      </w:r>
      <w:r>
        <w:t xml:space="preserve">inside a tidy-selection context:</w:t>
      </w:r>
    </w:p>
    <w:p>
      <w:pPr>
        <w:pStyle w:val="SourceCode"/>
      </w:pPr>
      <w:r>
        <w:rPr>
          <w:rStyle w:val="CommentTok"/>
        </w:rPr>
        <w:t xml:space="preserve"># Soft-deprecated: .data used in selection contexts</w:t>
      </w:r>
      <w:r>
        <w:br/>
      </w:r>
      <w:r>
        <w:rPr>
          <w:rStyle w:val="NormalTok"/>
        </w:rPr>
        <w:t xml:space="preserve">df </w:t>
      </w:r>
      <w:r>
        <w:rPr>
          <w:rStyle w:val="SpecialCharTok"/>
        </w:rPr>
        <w:t xml:space="preserve">|&gt;</w:t>
      </w:r>
      <w:r>
        <w:rPr>
          <w:rStyle w:val="NormalTok"/>
        </w:rPr>
        <w:t xml:space="preserve"> </w:t>
      </w:r>
      <w:r>
        <w:rPr>
          <w:rStyle w:val="FunctionTok"/>
        </w:rPr>
        <w:t xml:space="preserve">select</w:t>
      </w:r>
      <w:r>
        <w:rPr>
          <w:rStyle w:val="NormalTok"/>
        </w:rPr>
        <w:t xml:space="preserve">(.data</w:t>
      </w:r>
      <w:r>
        <w:rPr>
          <w:rStyle w:val="SpecialCharTok"/>
        </w:rPr>
        <w:t xml:space="preserve">$</w:t>
      </w:r>
      <w:r>
        <w:rPr>
          <w:rStyle w:val="NormalTok"/>
        </w:rPr>
        <w:t xml:space="preserve">Subject, .data[[var]])</w:t>
      </w:r>
      <w:r>
        <w:br/>
      </w:r>
      <w:r>
        <w:rPr>
          <w:rStyle w:val="NormalTok"/>
        </w:rPr>
        <w:t xml:space="preserve">df </w:t>
      </w:r>
      <w:r>
        <w:rPr>
          <w:rStyle w:val="SpecialCharTok"/>
        </w:rPr>
        <w:t xml:space="preserve">|&gt;</w:t>
      </w:r>
      <w:r>
        <w:rPr>
          <w:rStyle w:val="NormalTok"/>
        </w:rPr>
        <w:t xml:space="preserve"> </w:t>
      </w:r>
      <w:r>
        <w:rPr>
          <w:rStyle w:val="FunctionTok"/>
        </w:rPr>
        <w:t xml:space="preserve">summarize</w:t>
      </w:r>
      <w:r>
        <w:rPr>
          <w:rStyle w:val="NormalTok"/>
        </w:rPr>
        <w:t xml:space="preserve">(</w:t>
      </w:r>
      <w:r>
        <w:rPr>
          <w:rStyle w:val="AttributeTok"/>
        </w:rPr>
        <w:t xml:space="preserve">.by =</w:t>
      </w:r>
      <w:r>
        <w:rPr>
          <w:rStyle w:val="NormalTok"/>
        </w:rPr>
        <w:t xml:space="preserve"> </w:t>
      </w:r>
      <w:r>
        <w:rPr>
          <w:rStyle w:val="FunctionTok"/>
        </w:rPr>
        <w:t xml:space="preserve">c</w:t>
      </w:r>
      <w:r>
        <w:rPr>
          <w:rStyle w:val="NormalTok"/>
        </w:rPr>
        <w:t xml:space="preserve">(.data</w:t>
      </w:r>
      <w:r>
        <w:rPr>
          <w:rStyle w:val="SpecialCharTok"/>
        </w:rPr>
        <w:t xml:space="preserve">$</w:t>
      </w:r>
      <w:r>
        <w:rPr>
          <w:rStyle w:val="NormalTok"/>
        </w:rPr>
        <w:t xml:space="preserve">group), </w:t>
      </w:r>
      <w:r>
        <w:rPr>
          <w:rStyle w:val="AttributeTok"/>
        </w:rPr>
        <w:t xml:space="preserve">med =</w:t>
      </w:r>
      <w:r>
        <w:rPr>
          <w:rStyle w:val="NormalTok"/>
        </w:rPr>
        <w:t xml:space="preserve"> </w:t>
      </w:r>
      <w:r>
        <w:rPr>
          <w:rStyle w:val="FunctionTok"/>
        </w:rPr>
        <w:t xml:space="preserve">median</w:t>
      </w:r>
      <w:r>
        <w:rPr>
          <w:rStyle w:val="NormalTok"/>
        </w:rPr>
        <w:t xml:space="preserve">(value))</w:t>
      </w:r>
      <w:r>
        <w:br/>
      </w:r>
      <w:r>
        <w:rPr>
          <w:rStyle w:val="NormalTok"/>
        </w:rPr>
        <w:t xml:space="preserve">df </w:t>
      </w:r>
      <w:r>
        <w:rPr>
          <w:rStyle w:val="SpecialCharTok"/>
        </w:rPr>
        <w:t xml:space="preserve">|&gt;</w:t>
      </w:r>
      <w:r>
        <w:rPr>
          <w:rStyle w:val="NormalTok"/>
        </w:rPr>
        <w:t xml:space="preserve"> tidyr</w:t>
      </w:r>
      <w:r>
        <w:rPr>
          <w:rStyle w:val="SpecialCharTok"/>
        </w:rPr>
        <w:t xml:space="preserve">::</w:t>
      </w:r>
      <w:r>
        <w:rPr>
          <w:rStyle w:val="FunctionTok"/>
        </w:rPr>
        <w:t xml:space="preserve">pivot_wider</w:t>
      </w:r>
      <w:r>
        <w:rPr>
          <w:rStyle w:val="NormalTok"/>
        </w:rPr>
        <w:t xml:space="preserve">(</w:t>
      </w:r>
      <w:r>
        <w:rPr>
          <w:rStyle w:val="AttributeTok"/>
        </w:rPr>
        <w:t xml:space="preserve">names_from =</w:t>
      </w:r>
      <w:r>
        <w:rPr>
          <w:rStyle w:val="NormalTok"/>
        </w:rPr>
        <w:t xml:space="preserve"> .data</w:t>
      </w:r>
      <w:r>
        <w:rPr>
          <w:rStyle w:val="SpecialCharTok"/>
        </w:rPr>
        <w:t xml:space="preserve">$</w:t>
      </w:r>
      <w:r>
        <w:rPr>
          <w:rStyle w:val="NormalTok"/>
        </w:rPr>
        <w:t xml:space="preserve">Parameter)</w:t>
      </w:r>
    </w:p>
    <w:p>
      <w:pPr>
        <w:pStyle w:val="FirstParagraph"/>
      </w:pPr>
      <w:r>
        <w:t xml:space="preserve">The</w:t>
      </w:r>
      <w:r>
        <w:t xml:space="preserve"> </w:t>
      </w:r>
      <w:r>
        <w:rPr>
          <w:rStyle w:val="VerbatimChar"/>
        </w:rPr>
        <w:t xml:space="preserve">.data</w:t>
      </w:r>
      <w:r>
        <w:t xml:space="preserve"> </w:t>
      </w:r>
      <w:r>
        <w:t xml:space="preserve">pronoun is a</w:t>
      </w:r>
      <w:r>
        <w:t xml:space="preserve"> </w:t>
      </w:r>
      <w:r>
        <w:rPr>
          <w:i/>
          <w:iCs/>
        </w:rPr>
        <w:t xml:space="preserve">data-masking</w:t>
      </w:r>
      <w:r>
        <w:t xml:space="preserve"> </w:t>
      </w:r>
      <w:r>
        <w:t xml:space="preserve">tool, not a selection tool.</w:t>
      </w:r>
      <w:r>
        <w:t xml:space="preserve"> </w:t>
      </w:r>
      <w:r>
        <w:t xml:space="preserve">Using it in a selection context was deprecated in</w:t>
      </w:r>
      <w:r>
        <w:t xml:space="preserve"> </w:t>
      </w:r>
      <w:hyperlink r:id="rId21">
        <w:r>
          <w:rPr>
            <w:rStyle w:val="VerbatimChar"/>
          </w:rPr>
          <w:t xml:space="preserve">{tidyselect}</w:t>
        </w:r>
      </w:hyperlink>
      <w:r>
        <w:t xml:space="preserve"> </w:t>
      </w:r>
      <w:r>
        <w:t xml:space="preserve">1.2.0</w:t>
      </w:r>
      <w:r>
        <w:t xml:space="preserve"> </w:t>
      </w:r>
      <w:r>
        <w:t xml:space="preserve">(</w:t>
      </w:r>
      <w:hyperlink r:id="rId22">
        <w:r>
          <w:rPr>
            <w:rStyle w:val="Hyperlink"/>
          </w:rPr>
          <w:t xml:space="preserve">release notes</w:t>
        </w:r>
      </w:hyperlink>
      <w:r>
        <w:t xml:space="preserve">),</w:t>
      </w:r>
      <w:r>
        <w:t xml:space="preserve"> </w:t>
      </w:r>
      <w:r>
        <w:t xml:space="preserve">but it is a</w:t>
      </w:r>
      <w:r>
        <w:t xml:space="preserve"> </w:t>
      </w:r>
      <w:r>
        <w:rPr>
          <w:b/>
          <w:bCs/>
        </w:rPr>
        <w:t xml:space="preserve">soft</w:t>
      </w:r>
      <w:r>
        <w:t xml:space="preserve"> </w:t>
      </w:r>
      <w:r>
        <w:t xml:space="preserve">deprecation,</w:t>
      </w:r>
      <w:r>
        <w:t xml:space="preserve"> </w:t>
      </w:r>
      <w:r>
        <w:t xml:space="preserve">signaled through</w:t>
      </w:r>
      <w:r>
        <w:t xml:space="preserve"> </w:t>
      </w:r>
      <w:hyperlink r:id="rId23">
        <w:r>
          <w:rPr>
            <w:rStyle w:val="VerbatimChar"/>
          </w:rPr>
          <w:t xml:space="preserve">{lifecycle}</w:t>
        </w:r>
      </w:hyperlink>
      <w:r>
        <w:t xml:space="preserve">.</w:t>
      </w:r>
      <w:r>
        <w:t xml:space="preserve"> </w:t>
      </w:r>
      <w:r>
        <w:t xml:space="preserve">Per the</w:t>
      </w:r>
      <w:r>
        <w:t xml:space="preserve"> </w:t>
      </w:r>
      <w:hyperlink r:id="rId24">
        <w:r>
          <w:rPr>
            <w:rStyle w:val="VerbatimChar"/>
          </w:rPr>
          <w:t xml:space="preserve">{lifecycle}</w:t>
        </w:r>
        <w:r>
          <w:rPr>
            <w:rStyle w:val="Hyperlink"/>
          </w:rPr>
          <w:t xml:space="preserve"> </w:t>
        </w:r>
        <w:r>
          <w:rPr>
            <w:rStyle w:val="Hyperlink"/>
          </w:rPr>
          <w:t xml:space="preserve">documentation</w:t>
        </w:r>
      </w:hyperlink>
      <w:r>
        <w:t xml:space="preserve">,</w:t>
      </w:r>
      <w:r>
        <w:t xml:space="preserve"> </w:t>
      </w:r>
      <w:r>
        <w:t xml:space="preserve">a soft-deprecated feature warns only users</w:t>
      </w:r>
      <w:r>
        <w:t xml:space="preserve"> </w:t>
      </w:r>
      <w:r>
        <w:t xml:space="preserve">who trigger it from the global environment</w:t>
      </w:r>
      <w:r>
        <w:t xml:space="preserve"> </w:t>
      </w:r>
      <w:r>
        <w:t xml:space="preserve">and developers who use it directly</w:t>
      </w:r>
      <w:r>
        <w:t xml:space="preserve"> </w:t>
      </w:r>
      <w:r>
        <w:t xml:space="preserve">(for example when running</w:t>
      </w:r>
      <w:r>
        <w:t xml:space="preserve"> </w:t>
      </w:r>
      <w:hyperlink r:id="rId25">
        <w:r>
          <w:rPr>
            <w:rStyle w:val="VerbatimChar"/>
          </w:rPr>
          <w:t xml:space="preserve">{testthat}</w:t>
        </w:r>
      </w:hyperlink>
      <w:r>
        <w:t xml:space="preserve"> </w:t>
      </w:r>
      <w:r>
        <w:t xml:space="preserve">tests);</w:t>
      </w:r>
      <w:r>
        <w:t xml:space="preserve"> </w:t>
      </w:r>
      <w:r>
        <w:t xml:space="preserve">there is</w:t>
      </w:r>
      <w:r>
        <w:t xml:space="preserve"> </w:t>
      </w:r>
      <w:r>
        <w:rPr>
          <w:i/>
          <w:iCs/>
        </w:rPr>
        <w:t xml:space="preserve">no warning when the deprecated feature</w:t>
      </w:r>
      <w:r>
        <w:rPr>
          <w:i/>
          <w:iCs/>
        </w:rPr>
        <w:t xml:space="preserve"> </w:t>
      </w:r>
      <w:r>
        <w:rPr>
          <w:i/>
          <w:iCs/>
        </w:rPr>
        <w:t xml:space="preserve">is called indirectly by another package</w:t>
      </w:r>
      <w:r>
        <w:t xml:space="preserve">.</w:t>
      </w:r>
      <w:r>
        <w:t xml:space="preserve"> </w:t>
      </w:r>
      <w:r>
        <w:t xml:space="preserve">So in installed-package code it usually emits</w:t>
      </w:r>
      <w:r>
        <w:t xml:space="preserve"> </w:t>
      </w:r>
      <w:r>
        <w:rPr>
          <w:i/>
          <w:iCs/>
        </w:rPr>
        <w:t xml:space="preserve">no warning at all</w:t>
      </w:r>
      <w:r>
        <w:t xml:space="preserve">,</w:t>
      </w:r>
      <w:r>
        <w:t xml:space="preserve"> </w:t>
      </w:r>
      <w:r>
        <w:t xml:space="preserve">and it slips past interactive use, CI, and code review unnoticed.</w:t>
      </w:r>
      <w:r>
        <w:t xml:space="preserve"> </w:t>
      </w:r>
      <w:r>
        <w:t xml:space="preserve">Rewrite these with</w:t>
      </w:r>
      <w:r>
        <w:t xml:space="preserve"> </w:t>
      </w:r>
      <w:r>
        <w:rPr>
          <w:rStyle w:val="VerbatimChar"/>
        </w:rPr>
        <w:t xml:space="preserve">all_of()</w:t>
      </w:r>
      <w:r>
        <w:t xml:space="preserve">/</w:t>
      </w:r>
      <w:r>
        <w:rPr>
          <w:rStyle w:val="VerbatimChar"/>
        </w:rPr>
        <w:t xml:space="preserve">any_of()</w:t>
      </w:r>
      <w:r>
        <w:t xml:space="preserve"> </w:t>
      </w:r>
      <w:r>
        <w:t xml:space="preserve">and plain strings:</w:t>
      </w:r>
    </w:p>
    <w:p>
      <w:pPr>
        <w:pStyle w:val="SourceCode"/>
      </w:pPr>
      <w:r>
        <w:rPr>
          <w:rStyle w:val="CommentTok"/>
        </w:rPr>
        <w:t xml:space="preserve"># Idiomatic tidy selection</w:t>
      </w:r>
      <w:r>
        <w:br/>
      </w:r>
      <w:r>
        <w:rPr>
          <w:rStyle w:val="NormalTok"/>
        </w:rPr>
        <w:t xml:space="preserve">df </w:t>
      </w:r>
      <w:r>
        <w:rPr>
          <w:rStyle w:val="SpecialCharTok"/>
        </w:rPr>
        <w:t xml:space="preserve">|&gt;</w:t>
      </w:r>
      <w:r>
        <w:rPr>
          <w:rStyle w:val="NormalTok"/>
        </w:rPr>
        <w:t xml:space="preserve"> </w:t>
      </w:r>
      <w:r>
        <w:rPr>
          <w:rStyle w:val="FunctionTok"/>
        </w:rPr>
        <w:t xml:space="preserve">select</w:t>
      </w:r>
      <w:r>
        <w:rPr>
          <w:rStyle w:val="NormalTok"/>
        </w:rPr>
        <w:t xml:space="preserve">(</w:t>
      </w:r>
      <w:r>
        <w:rPr>
          <w:rStyle w:val="FunctionTok"/>
        </w:rPr>
        <w:t xml:space="preserve">all_of</w:t>
      </w:r>
      <w:r>
        <w:rPr>
          <w:rStyle w:val="NormalTok"/>
        </w:rPr>
        <w:t xml:space="preserve">(</w:t>
      </w:r>
      <w:r>
        <w:rPr>
          <w:rStyle w:val="FunctionTok"/>
        </w:rPr>
        <w:t xml:space="preserve">c</w:t>
      </w:r>
      <w:r>
        <w:rPr>
          <w:rStyle w:val="NormalTok"/>
        </w:rPr>
        <w:t xml:space="preserve">(</w:t>
      </w:r>
      <w:r>
        <w:rPr>
          <w:rStyle w:val="StringTok"/>
        </w:rPr>
        <w:t xml:space="preserve">"Subject"</w:t>
      </w:r>
      <w:r>
        <w:rPr>
          <w:rStyle w:val="NormalTok"/>
        </w:rPr>
        <w:t xml:space="preserve">, var)))</w:t>
      </w:r>
      <w:r>
        <w:br/>
      </w:r>
      <w:r>
        <w:rPr>
          <w:rStyle w:val="NormalTok"/>
        </w:rPr>
        <w:t xml:space="preserve">df </w:t>
      </w:r>
      <w:r>
        <w:rPr>
          <w:rStyle w:val="SpecialCharTok"/>
        </w:rPr>
        <w:t xml:space="preserve">|&gt;</w:t>
      </w:r>
      <w:r>
        <w:rPr>
          <w:rStyle w:val="NormalTok"/>
        </w:rPr>
        <w:t xml:space="preserve"> </w:t>
      </w:r>
      <w:r>
        <w:rPr>
          <w:rStyle w:val="FunctionTok"/>
        </w:rPr>
        <w:t xml:space="preserve">summarize</w:t>
      </w:r>
      <w:r>
        <w:rPr>
          <w:rStyle w:val="NormalTok"/>
        </w:rPr>
        <w:t xml:space="preserve">(</w:t>
      </w:r>
      <w:r>
        <w:rPr>
          <w:rStyle w:val="AttributeTok"/>
        </w:rPr>
        <w:t xml:space="preserve">.by =</w:t>
      </w:r>
      <w:r>
        <w:rPr>
          <w:rStyle w:val="NormalTok"/>
        </w:rPr>
        <w:t xml:space="preserve"> </w:t>
      </w:r>
      <w:r>
        <w:rPr>
          <w:rStyle w:val="FunctionTok"/>
        </w:rPr>
        <w:t xml:space="preserve">all_of</w:t>
      </w:r>
      <w:r>
        <w:rPr>
          <w:rStyle w:val="NormalTok"/>
        </w:rPr>
        <w:t xml:space="preserve">(</w:t>
      </w:r>
      <w:r>
        <w:rPr>
          <w:rStyle w:val="StringTok"/>
        </w:rPr>
        <w:t xml:space="preserve">"group"</w:t>
      </w:r>
      <w:r>
        <w:rPr>
          <w:rStyle w:val="NormalTok"/>
        </w:rPr>
        <w:t xml:space="preserve">), </w:t>
      </w:r>
      <w:r>
        <w:rPr>
          <w:rStyle w:val="AttributeTok"/>
        </w:rPr>
        <w:t xml:space="preserve">med =</w:t>
      </w:r>
      <w:r>
        <w:rPr>
          <w:rStyle w:val="NormalTok"/>
        </w:rPr>
        <w:t xml:space="preserve"> </w:t>
      </w:r>
      <w:r>
        <w:rPr>
          <w:rStyle w:val="FunctionTok"/>
        </w:rPr>
        <w:t xml:space="preserve">median</w:t>
      </w:r>
      <w:r>
        <w:rPr>
          <w:rStyle w:val="NormalTok"/>
        </w:rPr>
        <w:t xml:space="preserve">(value))</w:t>
      </w:r>
      <w:r>
        <w:br/>
      </w:r>
      <w:r>
        <w:rPr>
          <w:rStyle w:val="NormalTok"/>
        </w:rPr>
        <w:t xml:space="preserve">df </w:t>
      </w:r>
      <w:r>
        <w:rPr>
          <w:rStyle w:val="SpecialCharTok"/>
        </w:rPr>
        <w:t xml:space="preserve">|&gt;</w:t>
      </w:r>
      <w:r>
        <w:rPr>
          <w:rStyle w:val="NormalTok"/>
        </w:rPr>
        <w:t xml:space="preserve"> tidyr</w:t>
      </w:r>
      <w:r>
        <w:rPr>
          <w:rStyle w:val="SpecialCharTok"/>
        </w:rPr>
        <w:t xml:space="preserve">::</w:t>
      </w:r>
      <w:r>
        <w:rPr>
          <w:rStyle w:val="FunctionTok"/>
        </w:rPr>
        <w:t xml:space="preserve">pivot_wider</w:t>
      </w:r>
      <w:r>
        <w:rPr>
          <w:rStyle w:val="NormalTok"/>
        </w:rPr>
        <w:t xml:space="preserve">(</w:t>
      </w:r>
      <w:r>
        <w:rPr>
          <w:rStyle w:val="AttributeTok"/>
        </w:rPr>
        <w:t xml:space="preserve">names_from =</w:t>
      </w:r>
      <w:r>
        <w:rPr>
          <w:rStyle w:val="NormalTok"/>
        </w:rPr>
        <w:t xml:space="preserve"> </w:t>
      </w:r>
      <w:r>
        <w:rPr>
          <w:rStyle w:val="StringTok"/>
        </w:rPr>
        <w:t xml:space="preserve">"Parameter"</w:t>
      </w:r>
      <w:r>
        <w:rPr>
          <w:rStyle w:val="NormalTok"/>
        </w:rPr>
        <w:t xml:space="preserve">)</w:t>
      </w:r>
    </w:p>
    <w:p>
      <w:pPr>
        <w:pStyle w:val="FirstParagraph"/>
      </w:pPr>
      <w:r>
        <w:t xml:space="preserve">To make this class of soft deprecation fail loudly,</w:t>
      </w:r>
      <w:r>
        <w:t xml:space="preserve"> </w:t>
      </w:r>
      <w:r>
        <w:t xml:space="preserve">set</w:t>
      </w:r>
      <w:r>
        <w:t xml:space="preserve"> </w:t>
      </w:r>
      <w:r>
        <w:rPr>
          <w:rStyle w:val="VerbatimChar"/>
        </w:rPr>
        <w:t xml:space="preserve">options(lifecycle_verbosity = "error")</w:t>
      </w:r>
      <w:r>
        <w:t xml:space="preserve"> </w:t>
      </w:r>
      <w:r>
        <w:t xml:space="preserve">in your tests</w:t>
      </w:r>
      <w:r>
        <w:t xml:space="preserve"> </w:t>
      </w:r>
      <w:r>
        <w:t xml:space="preserve">(for example in</w:t>
      </w:r>
      <w:r>
        <w:t xml:space="preserve"> </w:t>
      </w:r>
      <w:r>
        <w:rPr>
          <w:rStyle w:val="VerbatimChar"/>
        </w:rPr>
        <w:t xml:space="preserve">tests/testthat/setup.R</w:t>
      </w:r>
      <w:r>
        <w:t xml:space="preserve">).</w:t>
      </w:r>
      <w:r>
        <w:t xml:space="preserve"> </w:t>
      </w:r>
      <w:r>
        <w:t xml:space="preserve">This option promotes deprecation signals to errors</w:t>
      </w:r>
      <w:r>
        <w:t xml:space="preserve"> </w:t>
      </w:r>
      <w:r>
        <w:t xml:space="preserve">regardless of the soft-versus-warning distinction</w:t>
      </w:r>
      <w:r>
        <w:t xml:space="preserve"> </w:t>
      </w:r>
      <w:r>
        <w:t xml:space="preserve">(</w:t>
      </w:r>
      <w:hyperlink r:id="rId26">
        <w:r>
          <w:rPr>
            <w:rStyle w:val="VerbatimChar"/>
          </w:rPr>
          <w:t xml:space="preserve">{lifecycle}</w:t>
        </w:r>
        <w:r>
          <w:rPr>
            <w:rStyle w:val="Hyperlink"/>
          </w:rPr>
          <w:t xml:space="preserve"> </w:t>
        </w:r>
        <w:r>
          <w:rPr>
            <w:rStyle w:val="Hyperlink"/>
          </w:rPr>
          <w:t xml:space="preserve">reference</w:t>
        </w:r>
      </w:hyperlink>
      <w:r>
        <w:t xml:space="preserve">).</w:t>
      </w:r>
      <w:r>
        <w:t xml:space="preserve"> </w:t>
      </w:r>
      <w:r>
        <w:t xml:space="preserve">Plain</w:t>
      </w:r>
      <w:r>
        <w:t xml:space="preserve"> </w:t>
      </w:r>
      <w:r>
        <w:rPr>
          <w:rStyle w:val="VerbatimChar"/>
        </w:rPr>
        <w:t xml:space="preserve">options(warn = 2)</w:t>
      </w:r>
      <w:r>
        <w:t xml:space="preserve"> </w:t>
      </w:r>
      <w:r>
        <w:t xml:space="preserve">will</w:t>
      </w:r>
      <w:r>
        <w:t xml:space="preserve"> </w:t>
      </w:r>
      <w:r>
        <w:rPr>
          <w:i/>
          <w:iCs/>
        </w:rPr>
        <w:t xml:space="preserve">not</w:t>
      </w:r>
      <w:r>
        <w:t xml:space="preserve"> </w:t>
      </w:r>
      <w:r>
        <w:t xml:space="preserve">catch it,</w:t>
      </w:r>
      <w:r>
        <w:t xml:space="preserve"> </w:t>
      </w:r>
      <w:r>
        <w:t xml:space="preserve">because</w:t>
      </w:r>
      <w:r>
        <w:t xml:space="preserve"> </w:t>
      </w:r>
      <w:r>
        <w:rPr>
          <w:rStyle w:val="VerbatimChar"/>
        </w:rPr>
        <w:t xml:space="preserve">warn = 2</w:t>
      </w:r>
      <w:r>
        <w:t xml:space="preserve"> </w:t>
      </w:r>
      <w:r>
        <w:t xml:space="preserve">only converts warnings into errors</w:t>
      </w:r>
      <w:r>
        <w:t xml:space="preserve"> </w:t>
      </w:r>
      <w:r>
        <w:t xml:space="preserve">once a warning is actually signaled,</w:t>
      </w:r>
      <w:r>
        <w:t xml:space="preserve"> </w:t>
      </w:r>
      <w:r>
        <w:t xml:space="preserve">and for a soft deprecation in installed-package code</w:t>
      </w:r>
      <w:r>
        <w:t xml:space="preserve"> </w:t>
      </w:r>
      <w:r>
        <w:t xml:space="preserve">no warning is signaled in the first place.</w:t>
      </w:r>
    </w:p>
    <w:bookmarkEnd w:id="27"/>
    <w:bookmarkEnd w:id="28"/>
    <w:bookmarkStart w:id="30" w:name="sec-technical-overview"/>
    <w:p>
      <w:pPr>
        <w:pStyle w:val="Heading2"/>
      </w:pPr>
      <w:r>
        <w:t xml:space="preserve">3 Technical Overview</w:t>
      </w:r>
    </w:p>
    <w:p>
      <w:pPr>
        <w:pStyle w:val="FirstParagraph"/>
      </w:pPr>
      <w:r>
        <w:t xml:space="preserve">This section covers the R functions and tools that we often use in the context of data masking, focusing on the bang bang operator (</w:t>
      </w:r>
      <w:r>
        <w:rPr>
          <w:rStyle w:val="VerbatimChar"/>
        </w:rPr>
        <w:t xml:space="preserve">!!</w:t>
      </w:r>
      <w:r>
        <w:t xml:space="preserve">) with symbol coercion (</w:t>
      </w:r>
      <w:r>
        <w:rPr>
          <w:rStyle w:val="VerbatimChar"/>
        </w:rPr>
        <w:t xml:space="preserve">sym()</w:t>
      </w:r>
      <w:r>
        <w:t xml:space="preserve">) and the Walrus operator (</w:t>
      </w:r>
      <w:r>
        <w:rPr>
          <w:rStyle w:val="VerbatimChar"/>
        </w:rPr>
        <w:t xml:space="preserve">:=</w:t>
      </w:r>
      <w:r>
        <w:t xml:space="preserve">).</w:t>
      </w:r>
    </w:p>
    <w:p>
      <w:pPr>
        <w:pStyle w:val="BodyText"/>
      </w:pPr>
      <w:r>
        <w:t xml:space="preserve">The combined use of</w:t>
      </w:r>
      <w:r>
        <w:t xml:space="preserve"> </w:t>
      </w:r>
      <w:r>
        <w:rPr>
          <w:rStyle w:val="VerbatimChar"/>
        </w:rPr>
        <w:t xml:space="preserve">!!</w:t>
      </w:r>
      <w:r>
        <w:t xml:space="preserve"> </w:t>
      </w:r>
      <w:r>
        <w:t xml:space="preserve">and</w:t>
      </w:r>
      <w:r>
        <w:t xml:space="preserve"> </w:t>
      </w:r>
      <w:r>
        <w:rPr>
          <w:rStyle w:val="VerbatimChar"/>
        </w:rPr>
        <w:t xml:space="preserve">sym()</w:t>
      </w:r>
      <w:r>
        <w:t xml:space="preserve"> </w:t>
      </w:r>
      <w:r>
        <w:t xml:space="preserve">allows us to use strings, rather than data-variables, to reference column names within dplyr. Together,</w:t>
      </w:r>
      <w:r>
        <w:t xml:space="preserve"> </w:t>
      </w:r>
      <w:r>
        <w:rPr>
          <w:rStyle w:val="VerbatimChar"/>
        </w:rPr>
        <w:t xml:space="preserve">!!sym("column_name")</w:t>
      </w:r>
      <w:r>
        <w:t xml:space="preserve"> </w:t>
      </w:r>
      <w:r>
        <w:t xml:space="preserve">forces dplyr to recognize</w:t>
      </w:r>
      <w:r>
        <w:t xml:space="preserve"> </w:t>
      </w:r>
      <w:r>
        <w:t xml:space="preserve">“column_name”</w:t>
      </w:r>
      <w:r>
        <w:t xml:space="preserve"> </w:t>
      </w:r>
      <w:r>
        <w:t xml:space="preserve">as a data-variable prior to evaluating the rest of the expression, enabling the ability to perform calculations on the column while referring to it as a string.</w:t>
      </w:r>
      <w:r>
        <w:t xml:space="preserve"> </w:t>
      </w:r>
      <w:r>
        <w:rPr>
          <w:rStyle w:val="VerbatimChar"/>
        </w:rPr>
        <w:t xml:space="preserve">sym()</w:t>
      </w:r>
      <w:r>
        <w:t xml:space="preserve"> </w:t>
      </w:r>
      <w:r>
        <w:t xml:space="preserve">is a function that turns strings into symbols. In the context of a dplyr pipe, these symbols are interpreted as data-variables.</w:t>
      </w:r>
      <w:r>
        <w:t xml:space="preserve"> </w:t>
      </w:r>
      <w:r>
        <w:t xml:space="preserve">The</w:t>
      </w:r>
      <w:r>
        <w:t xml:space="preserve"> </w:t>
      </w:r>
      <w:r>
        <w:rPr>
          <w:rStyle w:val="VerbatimChar"/>
        </w:rPr>
        <w:t xml:space="preserve">!!</w:t>
      </w:r>
      <w:r>
        <w:t xml:space="preserve"> </w:t>
      </w:r>
      <w:r>
        <w:t xml:space="preserve">(bang bang) operator tells dplyr to evaluate the sym() expression first, e.g. to unquote its expression (e.g. </w:t>
      </w:r>
      <w:r>
        <w:t xml:space="preserve">“column_name”</w:t>
      </w:r>
      <w:r>
        <w:t xml:space="preserve">) and evaluate it as a pre-existing object, first. This is helpful because often we use</w:t>
      </w:r>
      <w:r>
        <w:t xml:space="preserve"> </w:t>
      </w:r>
      <w:r>
        <w:rPr>
          <w:rStyle w:val="VerbatimChar"/>
        </w:rPr>
        <w:t xml:space="preserve">sym("column_name")</w:t>
      </w:r>
      <w:r>
        <w:t xml:space="preserve"> </w:t>
      </w:r>
      <w:r>
        <w:t xml:space="preserve">within a larger expression, and dplyr might evaluate other elements of the expression first without !!, causing errors.</w:t>
      </w:r>
    </w:p>
    <w:p>
      <w:pPr>
        <w:pStyle w:val="BodyText"/>
      </w:pPr>
      <w:r>
        <w:t xml:space="preserve">When we want to create a new column (via mutate or summarize), the Walrus operator (</w:t>
      </w:r>
      <w:r>
        <w:rPr>
          <w:rStyle w:val="VerbatimChar"/>
        </w:rPr>
        <w:t xml:space="preserve">:=</w:t>
      </w:r>
      <w:r>
        <w:t xml:space="preserve">) allows us to specify the new column’s name using a string. For example, while</w:t>
      </w:r>
      <w:r>
        <w:t xml:space="preserve"> </w:t>
      </w:r>
      <w:r>
        <w:rPr>
          <w:rStyle w:val="VerbatimChar"/>
        </w:rPr>
        <w:t xml:space="preserve">df |&gt; mutate("new_column" = values)</w:t>
      </w:r>
      <w:r>
        <w:t xml:space="preserve"> </w:t>
      </w:r>
      <w:r>
        <w:t xml:space="preserve">would yield an error,</w:t>
      </w:r>
      <w:r>
        <w:t xml:space="preserve"> </w:t>
      </w:r>
      <w:r>
        <w:rPr>
          <w:rStyle w:val="VerbatimChar"/>
        </w:rPr>
        <w:t xml:space="preserve">df |&gt; mutate("new_column" := values)</w:t>
      </w:r>
      <w:r>
        <w:t xml:space="preserve"> </w:t>
      </w:r>
      <w:r>
        <w:t xml:space="preserve">will correctly create a new column called</w:t>
      </w:r>
      <w:r>
        <w:t xml:space="preserve"> </w:t>
      </w:r>
      <w:r>
        <w:t xml:space="preserve">“new_column”</w:t>
      </w:r>
      <w:r>
        <w:t xml:space="preserve">.</w:t>
      </w:r>
      <w:r>
        <w:t xml:space="preserve"> </w:t>
      </w:r>
      <w:r>
        <w:t xml:space="preserve">If we want to use a variable representing a string, we can use !! to force the variable to be evaluated before using</w:t>
      </w:r>
      <w:r>
        <w:t xml:space="preserve"> </w:t>
      </w:r>
      <w:r>
        <w:rPr>
          <w:rStyle w:val="VerbatimChar"/>
        </w:rPr>
        <w:t xml:space="preserve">:=</w:t>
      </w:r>
      <w:r>
        <w:t xml:space="preserve"> </w:t>
      </w:r>
      <w:r>
        <w:t xml:space="preserve">to assign the value of the new column.</w:t>
      </w:r>
    </w:p>
    <w:p>
      <w:pPr>
        <w:pStyle w:val="SourceCode"/>
      </w:pPr>
      <w:r>
        <w:rPr>
          <w:rStyle w:val="NormalTok"/>
        </w:rPr>
        <w:t xml:space="preserve">col_name </w:t>
      </w:r>
      <w:r>
        <w:rPr>
          <w:rStyle w:val="OtherTok"/>
        </w:rPr>
        <w:t xml:space="preserve">=</w:t>
      </w:r>
      <w:r>
        <w:rPr>
          <w:rStyle w:val="NormalTok"/>
        </w:rPr>
        <w:t xml:space="preserve"> </w:t>
      </w:r>
      <w:r>
        <w:rPr>
          <w:rStyle w:val="StringTok"/>
        </w:rPr>
        <w:t xml:space="preserve">"new_column"</w:t>
      </w:r>
      <w:r>
        <w:br/>
      </w:r>
      <w:r>
        <w:rPr>
          <w:rStyle w:val="NormalTok"/>
        </w:rPr>
        <w:t xml:space="preserve">df </w:t>
      </w:r>
      <w:r>
        <w:rPr>
          <w:rStyle w:val="SpecialCharTok"/>
        </w:rPr>
        <w:t xml:space="preserve">|&gt;</w:t>
      </w:r>
      <w:r>
        <w:rPr>
          <w:rStyle w:val="NormalTok"/>
        </w:rPr>
        <w:t xml:space="preserve"> </w:t>
      </w:r>
      <w:r>
        <w:rPr>
          <w:rStyle w:val="FunctionTok"/>
        </w:rPr>
        <w:t xml:space="preserve">mutate</w:t>
      </w:r>
      <w:r>
        <w:rPr>
          <w:rStyle w:val="NormalTok"/>
        </w:rPr>
        <w:t xml:space="preserve">(</w:t>
      </w:r>
      <w:r>
        <w:rPr>
          <w:rStyle w:val="SpecialCharTok"/>
        </w:rPr>
        <w:t xml:space="preserve">!!</w:t>
      </w:r>
      <w:r>
        <w:rPr>
          <w:rStyle w:val="AttributeTok"/>
        </w:rPr>
        <w:t xml:space="preserve">col_name :=</w:t>
      </w:r>
      <w:r>
        <w:rPr>
          <w:rStyle w:val="NormalTok"/>
        </w:rPr>
        <w:t xml:space="preserve"> values)</w:t>
      </w:r>
    </w:p>
    <w:bookmarkStart w:id="29" w:name="example"/>
    <w:p>
      <w:pPr>
        <w:pStyle w:val="Heading3"/>
      </w:pPr>
      <w:r>
        <w:t xml:space="preserve">3.1 Example</w:t>
      </w:r>
    </w:p>
    <w:p>
      <w:pPr>
        <w:pStyle w:val="FirstParagraph"/>
      </w:pPr>
      <w:r>
        <w:t xml:space="preserve">Suppose we want to write a function</w:t>
      </w:r>
      <w:r>
        <w:t xml:space="preserve"> </w:t>
      </w:r>
      <w:r>
        <w:t xml:space="preserve">“generate_descriptive_table”</w:t>
      </w:r>
      <w:r>
        <w:t xml:space="preserve"> </w:t>
      </w:r>
      <w:r>
        <w:t xml:space="preserve">to summarize how the prevalence of</w:t>
      </w:r>
      <w:r>
        <w:t xml:space="preserve"> </w:t>
      </w:r>
      <w:r>
        <w:t xml:space="preserve">“outcome”</w:t>
      </w:r>
      <w:r>
        <w:t xml:space="preserve"> </w:t>
      </w:r>
      <w:r>
        <w:t xml:space="preserve">varies under different levels of a</w:t>
      </w:r>
      <w:r>
        <w:t xml:space="preserve"> </w:t>
      </w:r>
      <w:r>
        <w:t xml:space="preserve">“risk_factor”</w:t>
      </w:r>
      <w:r>
        <w:t xml:space="preserve"> </w:t>
      </w:r>
      <w:r>
        <w:t xml:space="preserve">in a data frame</w:t>
      </w:r>
      <w:r>
        <w:t xml:space="preserve"> </w:t>
      </w:r>
      <w:r>
        <w:t xml:space="preserve">“df”</w:t>
      </w:r>
    </w:p>
    <w:p>
      <w:pPr>
        <w:pStyle w:val="BodyText"/>
      </w:pPr>
      <w:r>
        <w:t xml:space="preserve">We can start by writing the function shell:</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 (df, outcome, rf) {</w:t>
      </w:r>
      <w:r>
        <w:br/>
      </w:r>
      <w:r>
        <w:rPr>
          <w:rStyle w:val="NormalTok"/>
        </w:rPr>
        <w:t xml:space="preserve">outcome_dist_by_rf </w:t>
      </w:r>
      <w:r>
        <w:rPr>
          <w:rStyle w:val="OtherTok"/>
        </w:rPr>
        <w:t xml:space="preserve">&lt;-</w:t>
      </w:r>
      <w:r>
        <w:rPr>
          <w:rStyle w:val="NormalTok"/>
        </w:rPr>
        <w:t xml:space="preserve"> ….</w:t>
      </w:r>
      <w:r>
        <w:br/>
      </w:r>
      <w:r>
        <w:rPr>
          <w:rStyle w:val="FunctionTok"/>
        </w:rPr>
        <w:t xml:space="preserve">return</w:t>
      </w:r>
      <w:r>
        <w:rPr>
          <w:rStyle w:val="NormalTok"/>
        </w:rPr>
        <w:t xml:space="preserve">(outcome_dist_by_rf)</w:t>
      </w:r>
      <w:r>
        <w:br/>
      </w:r>
      <w:r>
        <w:rPr>
          <w:rStyle w:val="NormalTok"/>
        </w:rPr>
        <w:t xml:space="preserve">}</w:t>
      </w:r>
    </w:p>
    <w:p>
      <w:pPr>
        <w:pStyle w:val="FirstParagraph"/>
      </w:pPr>
      <w:r>
        <w:t xml:space="preserve">Next, we can filter the data frame for only rows in which</w:t>
      </w:r>
      <w:r>
        <w:t xml:space="preserve"> </w:t>
      </w:r>
      <w:r>
        <w:t xml:space="preserve">“rf”</w:t>
      </w:r>
      <w:r>
        <w:t xml:space="preserve"> </w:t>
      </w:r>
      <w:r>
        <w:t xml:space="preserve">and</w:t>
      </w:r>
      <w:r>
        <w:t xml:space="preserve"> </w:t>
      </w:r>
      <w:r>
        <w:t xml:space="preserve">“outcome”</w:t>
      </w:r>
      <w:r>
        <w:t xml:space="preserve"> </w:t>
      </w:r>
      <w:r>
        <w:t xml:space="preserve">are not missing. We can use !! and sym() within filter to evaluate the strings stored in</w:t>
      </w:r>
      <w:r>
        <w:t xml:space="preserve"> </w:t>
      </w:r>
      <w:r>
        <w:t xml:space="preserve">“rf”</w:t>
      </w:r>
      <w:r>
        <w:t xml:space="preserve"> </w:t>
      </w:r>
      <w:r>
        <w:t xml:space="preserve">and</w:t>
      </w:r>
      <w:r>
        <w:t xml:space="preserve"> </w:t>
      </w:r>
      <w:r>
        <w:t xml:space="preserve">“outcome”</w:t>
      </w:r>
      <w:r>
        <w:t xml:space="preserve">. Note that defining</w:t>
      </w:r>
      <w:r>
        <w:t xml:space="preserve"> </w:t>
      </w:r>
      <w:r>
        <w:rPr>
          <w:rStyle w:val="VerbatimChar"/>
        </w:rPr>
        <w:t xml:space="preserve">!!sym(outcome)</w:t>
      </w:r>
      <w:r>
        <w:t xml:space="preserve"> </w:t>
      </w:r>
      <w:r>
        <w:t xml:space="preserve">or</w:t>
      </w:r>
      <w:r>
        <w:t xml:space="preserve"> </w:t>
      </w:r>
      <w:r>
        <w:rPr>
          <w:rStyle w:val="VerbatimChar"/>
        </w:rPr>
        <w:t xml:space="preserve">!!sym(rf)</w:t>
      </w:r>
      <w:r>
        <w:t xml:space="preserve"> </w:t>
      </w:r>
      <w:r>
        <w:t xml:space="preserve">in variables</w:t>
      </w:r>
      <w:r>
        <w:t xml:space="preserve"> </w:t>
      </w:r>
      <w:r>
        <w:rPr>
          <w:i/>
          <w:iCs/>
        </w:rPr>
        <w:t xml:space="preserve">outside of the dplyr pipeline</w:t>
      </w:r>
      <w:r>
        <w:t xml:space="preserve"> </w:t>
      </w:r>
      <w:r>
        <w:t xml:space="preserve">will</w:t>
      </w:r>
      <w:r>
        <w:t xml:space="preserve"> </w:t>
      </w:r>
      <w:r>
        <w:rPr>
          <w:i/>
          <w:iCs/>
        </w:rPr>
        <w:t xml:space="preserve">not</w:t>
      </w:r>
      <w:r>
        <w:t xml:space="preserve"> </w:t>
      </w:r>
      <w:r>
        <w:t xml:space="preserve">work.</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(df, outcome, rf) {</w:t>
      </w:r>
      <w:r>
        <w:br/>
      </w:r>
      <w:r>
        <w:rPr>
          <w:rStyle w:val="NormalTok"/>
        </w:rPr>
        <w:t xml:space="preserve">  outcome_dist_by_rf </w:t>
      </w:r>
      <w:r>
        <w:rPr>
          <w:rStyle w:val="OtherTok"/>
        </w:rPr>
        <w:t xml:space="preserve">&lt;-</w:t>
      </w:r>
      <w:r>
        <w:rPr>
          <w:rStyle w:val="NormalTok"/>
        </w:rPr>
        <w:t xml:space="preserve"> df </w:t>
      </w:r>
      <w:r>
        <w:rPr>
          <w:rStyle w:val="SpecialCharTok"/>
        </w:rPr>
        <w:t xml:space="preserve">|&gt;</w:t>
      </w:r>
      <w:r>
        <w:rPr>
          <w:rStyle w:val="NormalTok"/>
        </w:rPr>
        <w:t xml:space="preserve"> </w:t>
      </w:r>
      <w:r>
        <w:br/>
      </w:r>
      <w:r>
        <w:rPr>
          <w:rStyle w:val="NormalTok"/>
        </w:rPr>
        <w:t xml:space="preserve">    </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(outcome)), </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br/>
      </w:r>
      <w:r>
        <w:rPr>
          <w:rStyle w:val="NormalTok"/>
        </w:rPr>
        <w:t xml:space="preserve">  </w:t>
      </w:r>
      <w:r>
        <w:rPr>
          <w:rStyle w:val="FunctionTok"/>
        </w:rPr>
        <w:t xml:space="preserve">return</w:t>
      </w:r>
      <w:r>
        <w:rPr>
          <w:rStyle w:val="NormalTok"/>
        </w:rPr>
        <w:t xml:space="preserve">(outcome_dist_by_rf)</w:t>
      </w:r>
      <w:r>
        <w:br/>
      </w:r>
      <w:r>
        <w:rPr>
          <w:rStyle w:val="NormalTok"/>
        </w:rPr>
        <w:t xml:space="preserve">}</w:t>
      </w:r>
    </w:p>
    <w:p>
      <w:pPr>
        <w:pStyle w:val="FirstParagraph"/>
      </w:pPr>
      <w:r>
        <w:t xml:space="preserve">Similarly, we use !! and sym() in group_by to evaluate column name, stored as a string in the argument</w:t>
      </w:r>
      <w:r>
        <w:t xml:space="preserve"> </w:t>
      </w:r>
      <w:r>
        <w:t xml:space="preserve">“rf”</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(df, outcome, rf) {</w:t>
      </w:r>
      <w:r>
        <w:br/>
      </w:r>
      <w:r>
        <w:rPr>
          <w:rStyle w:val="NormalTok"/>
        </w:rPr>
        <w:t xml:space="preserve">  outcome_dist_by_rf </w:t>
      </w:r>
      <w:r>
        <w:rPr>
          <w:rStyle w:val="OtherTok"/>
        </w:rPr>
        <w:t xml:space="preserve">&lt;-</w:t>
      </w:r>
      <w:r>
        <w:rPr>
          <w:rStyle w:val="NormalTok"/>
        </w:rPr>
        <w:t xml:space="preserve"> df </w:t>
      </w:r>
      <w:r>
        <w:rPr>
          <w:rStyle w:val="SpecialCharTok"/>
        </w:rPr>
        <w:t xml:space="preserve">|&gt;</w:t>
      </w:r>
      <w:r>
        <w:rPr>
          <w:rStyle w:val="NormalTok"/>
        </w:rPr>
        <w:t xml:space="preserve"> </w:t>
      </w:r>
      <w:r>
        <w:br/>
      </w:r>
      <w:r>
        <w:rPr>
          <w:rStyle w:val="NormalTok"/>
        </w:rPr>
        <w:t xml:space="preserve">    </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(outcome)), </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rPr>
          <w:rStyle w:val="FunctionTok"/>
        </w:rPr>
        <w:t xml:space="preserve">group_by</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br/>
      </w:r>
      <w:r>
        <w:rPr>
          <w:rStyle w:val="NormalTok"/>
        </w:rPr>
        <w:t xml:space="preserve">  </w:t>
      </w:r>
      <w:r>
        <w:rPr>
          <w:rStyle w:val="FunctionTok"/>
        </w:rPr>
        <w:t xml:space="preserve">return</w:t>
      </w:r>
      <w:r>
        <w:rPr>
          <w:rStyle w:val="NormalTok"/>
        </w:rPr>
        <w:t xml:space="preserve">(outcome_dist_by_rf)</w:t>
      </w:r>
      <w:r>
        <w:br/>
      </w:r>
      <w:r>
        <w:rPr>
          <w:rStyle w:val="NormalTok"/>
        </w:rPr>
        <w:t xml:space="preserve">}</w:t>
      </w:r>
    </w:p>
    <w:p>
      <w:pPr>
        <w:pStyle w:val="FirstParagraph"/>
      </w:pPr>
      <w:r>
        <w:t xml:space="preserve">Finally, we can use the walrus operator, !! and sym() with</w:t>
      </w:r>
      <w:r>
        <w:t xml:space="preserve"> </w:t>
      </w:r>
      <w:r>
        <w:t xml:space="preserve">“summarize”</w:t>
      </w:r>
      <w:r>
        <w:t xml:space="preserve"> </w:t>
      </w:r>
      <w:r>
        <w:t xml:space="preserve">to create a new column that takes the mean of the column referenced in</w:t>
      </w:r>
      <w:r>
        <w:t xml:space="preserve"> </w:t>
      </w:r>
      <w:r>
        <w:t xml:space="preserve">“rf”</w:t>
      </w:r>
      <w:r>
        <w:t xml:space="preserve">. We also use</w:t>
      </w:r>
      <w:r>
        <w:t xml:space="preserve"> </w:t>
      </w:r>
      <w:r>
        <w:t xml:space="preserve">“glue”</w:t>
      </w:r>
      <w:r>
        <w:t xml:space="preserve"> </w:t>
      </w:r>
      <w:r>
        <w:t xml:space="preserve">or</w:t>
      </w:r>
      <w:r>
        <w:t xml:space="preserve"> </w:t>
      </w:r>
      <w:r>
        <w:t xml:space="preserve">“paste”</w:t>
      </w:r>
      <w:r>
        <w:t xml:space="preserve"> </w:t>
      </w:r>
      <w:r>
        <w:t xml:space="preserve">to give the new column an informative name that includes the</w:t>
      </w:r>
      <w:r>
        <w:t xml:space="preserve"> </w:t>
      </w:r>
      <w:r>
        <w:t xml:space="preserve">“outcome”</w:t>
      </w:r>
      <w:r>
        <w:t xml:space="preserve"> </w:t>
      </w:r>
      <w:r>
        <w:t xml:space="preserve">it describes.</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(df, outcome, rf) {</w:t>
      </w:r>
      <w:r>
        <w:br/>
      </w:r>
      <w:r>
        <w:rPr>
          <w:rStyle w:val="NormalTok"/>
        </w:rPr>
        <w:t xml:space="preserve">  outcome_dist_by_rf </w:t>
      </w:r>
      <w:r>
        <w:rPr>
          <w:rStyle w:val="OtherTok"/>
        </w:rPr>
        <w:t xml:space="preserve">&lt;-</w:t>
      </w:r>
      <w:r>
        <w:rPr>
          <w:rStyle w:val="NormalTok"/>
        </w:rPr>
        <w:t xml:space="preserve"> df </w:t>
      </w:r>
      <w:r>
        <w:rPr>
          <w:rStyle w:val="SpecialCharTok"/>
        </w:rPr>
        <w:t xml:space="preserve">|&gt;</w:t>
      </w:r>
      <w:r>
        <w:rPr>
          <w:rStyle w:val="NormalTok"/>
        </w:rPr>
        <w:t xml:space="preserve"> </w:t>
      </w:r>
      <w:r>
        <w:br/>
      </w:r>
      <w:r>
        <w:rPr>
          <w:rStyle w:val="NormalTok"/>
        </w:rPr>
        <w:t xml:space="preserve">    </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(outcome)), </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rPr>
          <w:rStyle w:val="NormalTok"/>
        </w:rPr>
        <w:t xml:space="preserve"> </w:t>
      </w:r>
      <w:r>
        <w:br/>
      </w:r>
      <w:r>
        <w:rPr>
          <w:rStyle w:val="NormalTok"/>
        </w:rPr>
        <w:t xml:space="preserve">    </w:t>
      </w:r>
      <w:r>
        <w:rPr>
          <w:rStyle w:val="FunctionTok"/>
        </w:rPr>
        <w:t xml:space="preserve">group_by</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rPr>
          <w:rStyle w:val="FunctionTok"/>
        </w:rPr>
        <w:t xml:space="preserve">summarize</w:t>
      </w:r>
      <w:r>
        <w:rPr>
          <w:rStyle w:val="NormalTok"/>
        </w:rPr>
        <w:t xml:space="preserve">(</w:t>
      </w:r>
      <w:r>
        <w:rPr>
          <w:rStyle w:val="SpecialCharTok"/>
        </w:rPr>
        <w:t xml:space="preserve">!!</w:t>
      </w:r>
      <w:r>
        <w:rPr>
          <w:rStyle w:val="NormalTok"/>
        </w:rPr>
        <w:t xml:space="preserve">(glue</w:t>
      </w:r>
      <w:r>
        <w:rPr>
          <w:rStyle w:val="SpecialCharTok"/>
        </w:rPr>
        <w:t xml:space="preserve">::</w:t>
      </w:r>
      <w:r>
        <w:rPr>
          <w:rStyle w:val="FunctionTok"/>
        </w:rPr>
        <w:t xml:space="preserve">glue</w:t>
      </w:r>
      <w:r>
        <w:rPr>
          <w:rStyle w:val="NormalTok"/>
        </w:rPr>
        <w:t xml:space="preserve">(</w:t>
      </w:r>
      <w:r>
        <w:rPr>
          <w:rStyle w:val="StringTok"/>
        </w:rPr>
        <w:t xml:space="preserve">"{outcome}_prev"</w:t>
      </w:r>
      <w:r>
        <w:rPr>
          <w:rStyle w:val="NormalTok"/>
        </w:rPr>
        <w:t xml:space="preserve">)) </w:t>
      </w:r>
      <w:r>
        <w:rPr>
          <w:rStyle w:val="SpecialCharTok"/>
        </w:rPr>
        <w:t xml:space="preserve">:</w:t>
      </w:r>
      <w:r>
        <w:rPr>
          <w:rStyle w:val="ErrorTok"/>
        </w:rPr>
        <w:t xml:space="preserve">=</w:t>
      </w:r>
      <w:r>
        <w:rPr>
          <w:rStyle w:val="NormalTok"/>
        </w:rPr>
        <w:t xml:space="preserve"> </w:t>
      </w:r>
      <w:r>
        <w:rPr>
          <w:rStyle w:val="FunctionTok"/>
        </w:rPr>
        <w:t xml:space="preserve">mean</w:t>
      </w:r>
      <w:r>
        <w:rPr>
          <w:rStyle w:val="NormalTok"/>
        </w:rPr>
        <w:t xml:space="preserve">(</w:t>
      </w:r>
      <w:r>
        <w:rPr>
          <w:rStyle w:val="SpecialCharTok"/>
        </w:rPr>
        <w:t xml:space="preserve">!!</w:t>
      </w:r>
      <w:r>
        <w:rPr>
          <w:rStyle w:val="FunctionTok"/>
        </w:rPr>
        <w:t xml:space="preserve">sym</w:t>
      </w:r>
      <w:r>
        <w:rPr>
          <w:rStyle w:val="NormalTok"/>
        </w:rPr>
        <w:t xml:space="preserve">(outcome))) </w:t>
      </w:r>
      <w:r>
        <w:br/>
      </w:r>
      <w:r>
        <w:rPr>
          <w:rStyle w:val="NormalTok"/>
        </w:rPr>
        <w:t xml:space="preserve">  </w:t>
      </w:r>
      <w:r>
        <w:rPr>
          <w:rStyle w:val="FunctionTok"/>
        </w:rPr>
        <w:t xml:space="preserve">return</w:t>
      </w:r>
      <w:r>
        <w:rPr>
          <w:rStyle w:val="NormalTok"/>
        </w:rPr>
        <w:t xml:space="preserve">(outcome_dist_by_rf)</w:t>
      </w:r>
      <w:r>
        <w:br/>
      </w:r>
      <w:r>
        <w:rPr>
          <w:rStyle w:val="NormalTok"/>
        </w:rPr>
        <w:t xml:space="preserve">}</w:t>
      </w:r>
    </w:p>
    <w:p>
      <w:pPr>
        <w:pStyle w:val="FirstParagraph"/>
      </w:pPr>
      <w:r>
        <w:t xml:space="preserve">OR</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(df, outcome, rf) {</w:t>
      </w:r>
      <w:r>
        <w:br/>
      </w:r>
      <w:r>
        <w:rPr>
          <w:rStyle w:val="NormalTok"/>
        </w:rPr>
        <w:t xml:space="preserve">  outcome_dist_by_rf </w:t>
      </w:r>
      <w:r>
        <w:rPr>
          <w:rStyle w:val="OtherTok"/>
        </w:rPr>
        <w:t xml:space="preserve">&lt;-</w:t>
      </w:r>
      <w:r>
        <w:rPr>
          <w:rStyle w:val="NormalTok"/>
        </w:rPr>
        <w:t xml:space="preserve"> df </w:t>
      </w:r>
      <w:r>
        <w:rPr>
          <w:rStyle w:val="SpecialCharTok"/>
        </w:rPr>
        <w:t xml:space="preserve">|&gt;</w:t>
      </w:r>
      <w:r>
        <w:rPr>
          <w:rStyle w:val="NormalTok"/>
        </w:rPr>
        <w:t xml:space="preserve"> </w:t>
      </w:r>
      <w:r>
        <w:br/>
      </w:r>
      <w:r>
        <w:rPr>
          <w:rStyle w:val="NormalTok"/>
        </w:rPr>
        <w:t xml:space="preserve">    </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(outcome)), </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rPr>
          <w:rStyle w:val="NormalTok"/>
        </w:rPr>
        <w:t xml:space="preserve"> </w:t>
      </w:r>
      <w:r>
        <w:br/>
      </w:r>
      <w:r>
        <w:rPr>
          <w:rStyle w:val="NormalTok"/>
        </w:rPr>
        <w:t xml:space="preserve">    </w:t>
      </w:r>
      <w:r>
        <w:rPr>
          <w:rStyle w:val="FunctionTok"/>
        </w:rPr>
        <w:t xml:space="preserve">group_by</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rPr>
          <w:rStyle w:val="FunctionTok"/>
        </w:rPr>
        <w:t xml:space="preserve">summarize</w:t>
      </w:r>
      <w:r>
        <w:rPr>
          <w:rStyle w:val="NormalTok"/>
        </w:rPr>
        <w:t xml:space="preserve">(</w:t>
      </w:r>
      <w:r>
        <w:rPr>
          <w:rStyle w:val="SpecialCharTok"/>
        </w:rPr>
        <w:t xml:space="preserve">!!</w:t>
      </w:r>
      <w:r>
        <w:rPr>
          <w:rStyle w:val="NormalTok"/>
        </w:rPr>
        <w:t xml:space="preserve">(</w:t>
      </w:r>
      <w:r>
        <w:rPr>
          <w:rStyle w:val="FunctionTok"/>
        </w:rPr>
        <w:t xml:space="preserve">paste0</w:t>
      </w:r>
      <w:r>
        <w:rPr>
          <w:rStyle w:val="NormalTok"/>
        </w:rPr>
        <w:t xml:space="preserve">(outcome, </w:t>
      </w:r>
      <w:r>
        <w:rPr>
          <w:rStyle w:val="StringTok"/>
        </w:rPr>
        <w:t xml:space="preserve">"_prev"</w:t>
      </w:r>
      <w:r>
        <w:rPr>
          <w:rStyle w:val="NormalTok"/>
        </w:rPr>
        <w:t xml:space="preserve">)) </w:t>
      </w:r>
      <w:r>
        <w:rPr>
          <w:rStyle w:val="SpecialCharTok"/>
        </w:rPr>
        <w:t xml:space="preserve">:</w:t>
      </w:r>
      <w:r>
        <w:rPr>
          <w:rStyle w:val="ErrorTok"/>
        </w:rPr>
        <w:t xml:space="preserve">=</w:t>
      </w:r>
      <w:r>
        <w:rPr>
          <w:rStyle w:val="NormalTok"/>
        </w:rPr>
        <w:t xml:space="preserve"> </w:t>
      </w:r>
      <w:r>
        <w:rPr>
          <w:rStyle w:val="FunctionTok"/>
        </w:rPr>
        <w:t xml:space="preserve">mean</w:t>
      </w:r>
      <w:r>
        <w:rPr>
          <w:rStyle w:val="NormalTok"/>
        </w:rPr>
        <w:t xml:space="preserve">(</w:t>
      </w:r>
      <w:r>
        <w:rPr>
          <w:rStyle w:val="SpecialCharTok"/>
        </w:rPr>
        <w:t xml:space="preserve">!!</w:t>
      </w:r>
      <w:r>
        <w:rPr>
          <w:rStyle w:val="FunctionTok"/>
        </w:rPr>
        <w:t xml:space="preserve">sym</w:t>
      </w:r>
      <w:r>
        <w:rPr>
          <w:rStyle w:val="NormalTok"/>
        </w:rPr>
        <w:t xml:space="preserve">(outcome)))</w:t>
      </w:r>
      <w:r>
        <w:br/>
      </w:r>
      <w:r>
        <w:rPr>
          <w:rStyle w:val="NormalTok"/>
        </w:rPr>
        <w:t xml:space="preserve">  </w:t>
      </w:r>
      <w:r>
        <w:rPr>
          <w:rStyle w:val="FunctionTok"/>
        </w:rPr>
        <w:t xml:space="preserve">return</w:t>
      </w:r>
      <w:r>
        <w:rPr>
          <w:rStyle w:val="NormalTok"/>
        </w:rPr>
        <w:t xml:space="preserve">(outcome_dist_by_rf)</w:t>
      </w:r>
      <w:r>
        <w:br/>
      </w:r>
      <w:r>
        <w:rPr>
          <w:rStyle w:val="NormalTok"/>
        </w:rPr>
        <w:t xml:space="preserve">}</w:t>
      </w:r>
    </w:p>
    <w:p>
      <w:pPr>
        <w:pStyle w:val="FirstParagraph"/>
      </w:pPr>
      <w:r>
        <w:t xml:space="preserve">OR</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(df, outcome, rf) {</w:t>
      </w:r>
      <w:r>
        <w:br/>
      </w:r>
      <w:r>
        <w:rPr>
          <w:rStyle w:val="NormalTok"/>
        </w:rPr>
        <w:t xml:space="preserve">  new_column_name </w:t>
      </w:r>
      <w:r>
        <w:rPr>
          <w:rStyle w:val="OtherTok"/>
        </w:rPr>
        <w:t xml:space="preserve">=</w:t>
      </w:r>
      <w:r>
        <w:rPr>
          <w:rStyle w:val="NormalTok"/>
        </w:rPr>
        <w:t xml:space="preserve"> </w:t>
      </w:r>
      <w:r>
        <w:rPr>
          <w:rStyle w:val="FunctionTok"/>
        </w:rPr>
        <w:t xml:space="preserve">paste0</w:t>
      </w:r>
      <w:r>
        <w:rPr>
          <w:rStyle w:val="NormalTok"/>
        </w:rPr>
        <w:t xml:space="preserve">(outcome, </w:t>
      </w:r>
      <w:r>
        <w:rPr>
          <w:rStyle w:val="StringTok"/>
        </w:rPr>
        <w:t xml:space="preserve">"_prev"</w:t>
      </w:r>
      <w:r>
        <w:rPr>
          <w:rStyle w:val="NormalTok"/>
        </w:rPr>
        <w:t xml:space="preserve">)</w:t>
      </w:r>
      <w:r>
        <w:br/>
      </w:r>
      <w:r>
        <w:rPr>
          <w:rStyle w:val="NormalTok"/>
        </w:rPr>
        <w:t xml:space="preserve">  outcome_dist_by_rf </w:t>
      </w:r>
      <w:r>
        <w:rPr>
          <w:rStyle w:val="OtherTok"/>
        </w:rPr>
        <w:t xml:space="preserve">&lt;-</w:t>
      </w:r>
      <w:r>
        <w:rPr>
          <w:rStyle w:val="NormalTok"/>
        </w:rPr>
        <w:t xml:space="preserve"> df </w:t>
      </w:r>
      <w:r>
        <w:rPr>
          <w:rStyle w:val="SpecialCharTok"/>
        </w:rPr>
        <w:t xml:space="preserve">|&gt;</w:t>
      </w:r>
      <w:r>
        <w:rPr>
          <w:rStyle w:val="NormalTok"/>
        </w:rPr>
        <w:t xml:space="preserve"> </w:t>
      </w:r>
      <w:r>
        <w:br/>
      </w:r>
      <w:r>
        <w:rPr>
          <w:rStyle w:val="NormalTok"/>
        </w:rPr>
        <w:t xml:space="preserve">    </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(outcome)), </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rPr>
          <w:rStyle w:val="NormalTok"/>
        </w:rPr>
        <w:t xml:space="preserve"> </w:t>
      </w:r>
      <w:r>
        <w:br/>
      </w:r>
      <w:r>
        <w:rPr>
          <w:rStyle w:val="NormalTok"/>
        </w:rPr>
        <w:t xml:space="preserve">    </w:t>
      </w:r>
      <w:r>
        <w:rPr>
          <w:rStyle w:val="FunctionTok"/>
        </w:rPr>
        <w:t xml:space="preserve">group_by</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rPr>
          <w:rStyle w:val="FunctionTok"/>
        </w:rPr>
        <w:t xml:space="preserve">summarize</w:t>
      </w:r>
      <w:r>
        <w:rPr>
          <w:rStyle w:val="NormalTok"/>
        </w:rPr>
        <w:t xml:space="preserve">(</w:t>
      </w:r>
      <w:r>
        <w:rPr>
          <w:rStyle w:val="SpecialCharTok"/>
        </w:rPr>
        <w:t xml:space="preserve">!!</w:t>
      </w:r>
      <w:r>
        <w:rPr>
          <w:rStyle w:val="NormalTok"/>
        </w:rPr>
        <w:t xml:space="preserve">(new_column_name) </w:t>
      </w:r>
      <w:r>
        <w:rPr>
          <w:rStyle w:val="SpecialCharTok"/>
        </w:rPr>
        <w:t xml:space="preserve">:</w:t>
      </w:r>
      <w:r>
        <w:rPr>
          <w:rStyle w:val="ErrorTok"/>
        </w:rPr>
        <w:t xml:space="preserve">=</w:t>
      </w:r>
      <w:r>
        <w:rPr>
          <w:rStyle w:val="NormalTok"/>
        </w:rPr>
        <w:t xml:space="preserve"> </w:t>
      </w:r>
      <w:r>
        <w:rPr>
          <w:rStyle w:val="FunctionTok"/>
        </w:rPr>
        <w:t xml:space="preserve">mean</w:t>
      </w:r>
      <w:r>
        <w:rPr>
          <w:rStyle w:val="NormalTok"/>
        </w:rPr>
        <w:t xml:space="preserve">(</w:t>
      </w:r>
      <w:r>
        <w:rPr>
          <w:rStyle w:val="SpecialCharTok"/>
        </w:rPr>
        <w:t xml:space="preserve">!!</w:t>
      </w:r>
      <w:r>
        <w:rPr>
          <w:rStyle w:val="FunctionTok"/>
        </w:rPr>
        <w:t xml:space="preserve">sym</w:t>
      </w:r>
      <w:r>
        <w:rPr>
          <w:rStyle w:val="NormalTok"/>
        </w:rPr>
        <w:t xml:space="preserve">(outcome))) </w:t>
      </w:r>
      <w:r>
        <w:br/>
      </w:r>
      <w:r>
        <w:rPr>
          <w:rStyle w:val="NormalTok"/>
        </w:rPr>
        <w:t xml:space="preserve">  </w:t>
      </w:r>
      <w:r>
        <w:rPr>
          <w:rStyle w:val="FunctionTok"/>
        </w:rPr>
        <w:t xml:space="preserve">return</w:t>
      </w:r>
      <w:r>
        <w:rPr>
          <w:rStyle w:val="NormalTok"/>
        </w:rPr>
        <w:t xml:space="preserve">(outcome_dist_by_rf)</w:t>
      </w:r>
      <w:r>
        <w:br/>
      </w:r>
      <w:r>
        <w:rPr>
          <w:rStyle w:val="NormalTok"/>
        </w:rPr>
        <w:t xml:space="preserve">}</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7" Target="https://dplyr.tidyverse.org/" TargetMode="External" /><Relationship Type="http://schemas.openxmlformats.org/officeDocument/2006/relationships/hyperlink" Id="rId18" Target="https://ggplot2.tidyverse.org/" TargetMode="External" /><Relationship Type="http://schemas.openxmlformats.org/officeDocument/2006/relationships/hyperlink" Id="rId23" Target="https://lifecycle.r-lib.org/" TargetMode="External" /><Relationship Type="http://schemas.openxmlformats.org/officeDocument/2006/relationships/hyperlink" Id="rId24" Target="https://lifecycle.r-lib.org/articles/communicate.html" TargetMode="External" /><Relationship Type="http://schemas.openxmlformats.org/officeDocument/2006/relationships/hyperlink" Id="rId26" Target="https://lifecycle.r-lib.org/reference/deprecate_soft.html" TargetMode="External" /><Relationship Type="http://schemas.openxmlformats.org/officeDocument/2006/relationships/hyperlink" Id="rId25" Target="https://testthat.r-lib.org/" TargetMode="External" /><Relationship Type="http://schemas.openxmlformats.org/officeDocument/2006/relationships/hyperlink" Id="rId19" Target="https://tidyr.tidyverse.org/" TargetMode="External" /><Relationship Type="http://schemas.openxmlformats.org/officeDocument/2006/relationships/hyperlink" Id="rId21" Target="https://tidyselect.r-lib.org/" TargetMode="External" /><Relationship Type="http://schemas.openxmlformats.org/officeDocument/2006/relationships/hyperlink" Id="rId16" Target="https://www.tidyverse.org/" TargetMode="External" /><Relationship Type="http://schemas.openxmlformats.org/officeDocument/2006/relationships/hyperlink" Id="rId22" Target="https://www.tidyverse.org/blog/2022/10/tidyselect-1-2-0/" TargetMode="External" /></Relationships>
</file>

<file path=word/_rels/footnotes.xml.rels><?xml version="1.0" encoding="UTF-8"?><Relationships xmlns="http://schemas.openxmlformats.org/package/2006/relationships"><Relationship Type="http://schemas.openxmlformats.org/officeDocument/2006/relationships/hyperlink" Id="rId17" Target="https://dplyr.tidyverse.org/" TargetMode="External" /><Relationship Type="http://schemas.openxmlformats.org/officeDocument/2006/relationships/hyperlink" Id="rId18" Target="https://ggplot2.tidyverse.org/" TargetMode="External" /><Relationship Type="http://schemas.openxmlformats.org/officeDocument/2006/relationships/hyperlink" Id="rId23" Target="https://lifecycle.r-lib.org/" TargetMode="External" /><Relationship Type="http://schemas.openxmlformats.org/officeDocument/2006/relationships/hyperlink" Id="rId24" Target="https://lifecycle.r-lib.org/articles/communicate.html" TargetMode="External" /><Relationship Type="http://schemas.openxmlformats.org/officeDocument/2006/relationships/hyperlink" Id="rId26" Target="https://lifecycle.r-lib.org/reference/deprecate_soft.html" TargetMode="External" /><Relationship Type="http://schemas.openxmlformats.org/officeDocument/2006/relationships/hyperlink" Id="rId25" Target="https://testthat.r-lib.org/" TargetMode="External" /><Relationship Type="http://schemas.openxmlformats.org/officeDocument/2006/relationships/hyperlink" Id="rId19" Target="https://tidyr.tidyverse.org/" TargetMode="External" /><Relationship Type="http://schemas.openxmlformats.org/officeDocument/2006/relationships/hyperlink" Id="rId21" Target="https://tidyselect.r-lib.org/" TargetMode="External" /><Relationship Type="http://schemas.openxmlformats.org/officeDocument/2006/relationships/hyperlink" Id="rId16" Target="https://www.tidyverse.org/" TargetMode="External" /><Relationship Type="http://schemas.openxmlformats.org/officeDocument/2006/relationships/hyperlink" Id="rId22" Target="https://www.tidyverse.org/blog/2022/10/tidyselect-1-2-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masking</dc:title>
  <dc:creator/>
  <cp:keywords/>
  <dcterms:created xsi:type="dcterms:W3CDTF">2026-10-31T11:59:46Z</dcterms:created>
  <dcterms:modified xsi:type="dcterms:W3CDTF">2026-10-31T11:59:46Z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2026-10-31 04:53:06 (PDT)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