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t xml:space="preserve">Mathematical notation is not standardized.</w:t>
      </w:r>
      <w:r>
        <w:t xml:space="preserve"> </w:t>
      </w:r>
      <w:r>
        <w:t xml:space="preserve">This section states the conventions these notes use,</w:t>
      </w:r>
      <w:r>
        <w:t xml:space="preserve"> </w:t>
      </w:r>
      <w:r>
        <w:t xml:space="preserve">and the alternatives you may meet in other sources.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notation-collect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used in this book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1"/>
              <w:gridCol w:w="5351"/>
              <w:gridCol w:w="117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¬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\neg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∀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\forall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∃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\exists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∪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union,</w:t>
                  </w:r>
                  <w:r>
                    <w:t xml:space="preserve"> </w:t>
                  </w:r>
                  <w:r>
                    <w:t xml:space="preserve">“or”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∩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intersection,</w:t>
                  </w:r>
                  <w:r>
                    <w:t xml:space="preserve"> </w:t>
                  </w:r>
                  <w:r>
                    <w:t xml:space="preserve">“and”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\cap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∣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given, conditional 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\mid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|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product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\prod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\mu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9">
                    <w:r>
                      <w:rPr>
                        <w:rStyle w:val="Hyperlink"/>
                      </w:rPr>
                      <w:t xml:space="preserve">expectation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\mathbb{E}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x^{\top}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′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or derivative</w:t>
                  </w:r>
                  <w:r>
                    <w:rPr>
                      <w:rStyle w:val="FootnoteReference"/>
                    </w:rPr>
                    <w:footnoteReference w:id="10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independent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\perp\!\!\!\perp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∴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therefore, thus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\therefore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2">
                    <w:r>
                      <w:rPr>
                        <w:rStyle w:val="Hyperlink"/>
                      </w:rPr>
                      <w:t xml:space="preserve">linear component of a GLM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\eta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floor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largest integer less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\lfloor x \rfloor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⌈"/>
                        <m:sepChr m:val=""/>
                        <m:endChr m:val="⌉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ceiling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smallest integer greater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\lceil x \rceil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indicator function (</w:t>
                  </w:r>
                  <w:hyperlink w:anchor="sec-indicator-functions">
                    <w:r>
                      <w:rPr>
                        <w:rStyle w:val="Hyperlink"/>
                      </w:rPr>
                      <w:t xml:space="preserve">Section 5</w:t>
                    </w:r>
                  </w:hyperlink>
                  <w:r>
                    <w:t xml:space="preserve">):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condition holds,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otherwise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\indic{A}(x)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\indicp{P}</w:t>
                  </w:r>
                </w:p>
              </w:tc>
            </w:tr>
          </w:tbl>
          <w:bookmarkEnd w:id="13"/>
          <w:p/>
        </w:tc>
      </w:tr>
    </w:tbl>
    <w:bookmarkStart w:id="15" w:name="sec-writing-math-quarto"/>
    <w:p>
      <w:pPr>
        <w:pStyle w:val="Heading2"/>
      </w:pPr>
      <w:r>
        <w:t xml:space="preserve">1 Writing math in Quarto</w:t>
      </w:r>
    </w:p>
    <w:p>
      <w:pPr>
        <w:pStyle w:val="FirstParagraph"/>
      </w:pPr>
      <w:r>
        <w:t xml:space="preserve">The third column of</w:t>
      </w:r>
      <w:r>
        <w:t xml:space="preserve"> </w:t>
      </w:r>
      <w:hyperlink w:anchor="tbl-notation-collected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gives the LaTeX command for each symbol.</w:t>
      </w:r>
      <w:r>
        <w:t xml:space="preserve"> </w:t>
      </w:r>
      <w:r>
        <w:t xml:space="preserve">Quarto and R Markdown documents write math in LaTeX syntax:</w:t>
      </w:r>
      <w:r>
        <w:t xml:space="preserve"> </w:t>
      </w:r>
      <w:r>
        <w:t xml:space="preserve">put inline math between single dollar signs, as in</w:t>
      </w:r>
      <w:r>
        <w:t xml:space="preserve"> </w:t>
      </w:r>
      <w:r>
        <w:rPr>
          <w:rStyle w:val="VerbatimChar"/>
        </w:rPr>
        <w:t xml:space="preserve">$x^2$</w:t>
      </w:r>
      <w:r>
        <w:t xml:space="preserve">,</w:t>
      </w:r>
      <w:r>
        <w:t xml:space="preserve"> </w:t>
      </w:r>
      <w:r>
        <w:t xml:space="preserve">and displayed equations between double dollar signs, as in</w:t>
      </w:r>
      <w:r>
        <w:t xml:space="preserve"> </w:t>
      </w:r>
      <w:r>
        <w:rPr>
          <w:rStyle w:val="VerbatimChar"/>
        </w:rPr>
        <w:t xml:space="preserve">$$x^2$$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equations section of Quarto’s Markdown guide</w:t>
        </w:r>
      </w:hyperlink>
      <w:r>
        <w:t xml:space="preserve"> </w:t>
      </w:r>
      <w:r>
        <w:t xml:space="preserve">shows the details.</w:t>
      </w:r>
      <w:r>
        <w:t xml:space="preserve"> </w:t>
      </w:r>
      <w:r>
        <w:t xml:space="preserve">These notes also use shorthand macros,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\floor{x}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defined in the</w:t>
      </w:r>
      <w:r>
        <w:t xml:space="preserve"> </w:t>
      </w:r>
      <w:r>
        <w:rPr>
          <w:rStyle w:val="VerbatimChar"/>
        </w:rPr>
        <w:t xml:space="preserve">latex-macros</w:t>
      </w:r>
      <w:r>
        <w:t xml:space="preserve"> </w:t>
      </w:r>
      <w:r>
        <w:t xml:space="preserve">submodule’s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.</w:t>
      </w:r>
    </w:p>
    <w:bookmarkEnd w:id="15"/>
    <w:bookmarkStart w:id="25" w:name="sec-notation-naturals"/>
    <w:p>
      <w:pPr>
        <w:pStyle w:val="Heading2"/>
      </w:pPr>
      <w:r>
        <w:t xml:space="preserve">2 Natural numbers</w:t>
      </w:r>
    </w:p>
    <w:bookmarkStart w:id="16" w:name="exr-naturals-below-three"/>
    <w:p>
      <w:pPr>
        <w:pStyle w:val="FirstParagraph"/>
      </w:pPr>
      <w:r>
        <w:rPr>
          <w:b/>
          <w:bCs/>
        </w:rPr>
        <w:t xml:space="preserve">Exercise 1 (Which numbers are natural?)</w:t>
      </w:r>
      <w:r>
        <w:t xml:space="preserve"> </w:t>
      </w:r>
      <w:r>
        <w:t xml:space="preserve">List the elements of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&lt;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Is your answer the same in every textbook?</w:t>
      </w:r>
    </w:p>
    <w:bookmarkEnd w:id="16"/>
    <w:bookmarkStart w:id="17" w:name="sol-naturals-below-thre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answer depends on whether the source counts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a natural number: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0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1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Both conventions are in common use,</w:t>
      </w:r>
      <w:r>
        <w:t xml:space="preserve"> </w:t>
      </w:r>
      <w:r>
        <w:t xml:space="preserve">so the answer is not the same in every textbook.</w:t>
      </w:r>
    </w:p>
    <w:bookmarkEnd w:id="17"/>
    <w:bookmarkStart w:id="18" w:name="def-natural-numbers"/>
    <w:p>
      <w:pPr>
        <w:pStyle w:val="BodyText"/>
      </w:pPr>
      <w:r>
        <w:rPr>
          <w:b/>
          <w:bCs/>
        </w:rPr>
        <w:t xml:space="preserve">Definition 1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are the positive integers: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18"/>
    <w:bookmarkStart w:id="19" w:name="def-nonnegative-integers"/>
    <w:p>
      <w:pPr>
        <w:pStyle w:val="FirstParagraph"/>
      </w:pPr>
      <w:r>
        <w:rPr>
          <w:b/>
          <w:bCs/>
        </w:rPr>
        <w:t xml:space="preserve">Definition 2 (Non-negative 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non-negative integers</w:t>
      </w:r>
      <w:r>
        <w:t xml:space="preserve"> </w:t>
      </w:r>
      <w:r>
        <w:t xml:space="preserve">are the natural numbers (</w:t>
      </w:r>
      <w:hyperlink w:anchor="def-natural-numbers">
        <w:r>
          <w:rPr>
            <w:rStyle w:val="Hyperlink"/>
          </w:rPr>
          <w:t xml:space="preserve">Definition 1</w:t>
        </w:r>
      </w:hyperlink>
      <w:r>
        <w:t xml:space="preserve">) together with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N</m:t>
              </m:r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</m:e>
          </m:d>
          <m:r>
            <m:t>​</m:t>
          </m:r>
        </m:oMath>
      </m:oMathPara>
    </w:p>
    <w:bookmarkEnd w:id="19"/>
    <w:bookmarkStart w:id="20" w:name="exm-natural-numbers"/>
    <w:p>
      <w:pPr>
        <w:pStyle w:val="FirstParagraph"/>
      </w:pPr>
      <w:r>
        <w:rPr>
          <w:b/>
          <w:bCs/>
        </w:rPr>
        <w:t xml:space="preserve">Example 1 (Natural numbers in a data analysis)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w:r>
        <w:t xml:space="preserve">Observation indices start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we write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A count outcome, such as the number of hospital visits in a year,</w:t>
      </w:r>
      <w:r>
        <w:t xml:space="preserve"> </w:t>
      </w:r>
      <w:r>
        <w:t xml:space="preserve">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its support 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, not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End w:id="25"/>
    <w:bookmarkStart w:id="27" w:name="percent-sign"/>
    <w:p>
      <w:pPr>
        <w:pStyle w:val="Heading2"/>
      </w:pPr>
      <w:r>
        <w:t xml:space="preserve">3 Percent sign (</w:t>
      </w:r>
      <w:r>
        <w:t xml:space="preserve">“%”</w:t>
      </w:r>
      <w:r>
        <w:t xml:space="preserve">)</w:t>
      </w:r>
    </w:p>
    <w:p>
      <w:pPr>
        <w:pStyle w:val="FirstParagraph"/>
      </w:pPr>
      <w:r>
        <w:t xml:space="preserve">The percent sign</w:t>
      </w:r>
      <w:r>
        <w:t xml:space="preserve"> </w:t>
      </w:r>
      <w:r>
        <w:t xml:space="preserve">“%”</w:t>
      </w:r>
      <w:r>
        <w:t xml:space="preserve"> </w:t>
      </w:r>
      <w:r>
        <w:t xml:space="preserve">is just a shorthand for</w:t>
      </w:r>
      <w:r>
        <w:t xml:space="preserve"> </w:t>
      </w:r>
      <w:r>
        <w:t xml:space="preserve">“</w:t>
      </w:r>
      <m:oMath>
        <m:r>
          <m:rPr>
            <m:sty m:val="p"/>
          </m:rPr>
          <m:t>/</m:t>
        </m:r>
        <m:r>
          <m:t>100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word</w:t>
      </w:r>
      <w:r>
        <w:t xml:space="preserve"> </w:t>
      </w:r>
      <w:r>
        <w:t xml:space="preserve">“percent”</w:t>
      </w:r>
      <w:r>
        <w:t xml:space="preserve"> </w:t>
      </w:r>
      <w:r>
        <w:t xml:space="preserve">comes from the Latin</w:t>
      </w:r>
      <w:r>
        <w:t xml:space="preserve"> </w:t>
      </w:r>
      <w:r>
        <w:t xml:space="preserve">“per centum”</w:t>
      </w:r>
      <w:r>
        <w:t xml:space="preserve">;</w:t>
      </w:r>
      <w:r>
        <w:t xml:space="preserve"> </w:t>
      </w:r>
      <w:r>
        <w:t xml:space="preserve">“centum”</w:t>
      </w:r>
      <w:r>
        <w:t xml:space="preserve"> </w:t>
      </w:r>
      <w:r>
        <w:t xml:space="preserve">is Latin for 100,</w:t>
      </w:r>
      <w:r>
        <w:t xml:space="preserve"> </w:t>
      </w:r>
      <w:r>
        <w:t xml:space="preserve">so</w:t>
      </w:r>
      <w:r>
        <w:t xml:space="preserve"> </w:t>
      </w:r>
      <w:r>
        <w:t xml:space="preserve">“percent”</w:t>
      </w:r>
      <w:r>
        <w:t xml:space="preserve"> </w:t>
      </w:r>
      <w:r>
        <w:t xml:space="preserve">means</w:t>
      </w:r>
      <w:r>
        <w:t xml:space="preserve"> </w:t>
      </w:r>
      <w:r>
        <w:t xml:space="preserve">“per hundred”</w:t>
      </w:r>
      <w:r>
        <w:t xml:space="preserve"> </w:t>
      </w:r>
      <w:r>
        <w:t xml:space="preserve">(cf. </w:t>
      </w:r>
      <w:hyperlink r:id="rId26">
        <w:r>
          <w:rPr>
            <w:rStyle w:val="Hyperlink"/>
          </w:rPr>
          <w:t xml:space="preserve">https://en.wikipedia.org/wiki/Percentage</w:t>
        </w:r>
      </w:hyperlink>
      <w:r>
        <w:t xml:space="preserve">)</w:t>
      </w:r>
    </w:p>
    <w:p>
      <w:pPr>
        <w:pStyle w:val="BodyText"/>
      </w:pPr>
      <w:r>
        <w:t xml:space="preserve">So, contrary to what you may have learned previously,</w:t>
      </w:r>
      <w:r>
        <w:t xml:space="preserve"> </w:t>
      </w:r>
      <m:oMath>
        <m:r>
          <m:t>10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is a true and correct equality,</w:t>
      </w:r>
      <w:r>
        <w:t xml:space="preserve"> </w:t>
      </w:r>
      <w:r>
        <w:t xml:space="preserve">just as</w:t>
      </w:r>
      <w:r>
        <w:t xml:space="preserve"> </w:t>
      </w:r>
      <m:oMath>
        <m:r>
          <m:t>10</m:t>
        </m:r>
        <m:r>
          <m:rPr>
            <m:nor/>
            <m:sty m:val="p"/>
          </m:rPr>
          <m:t>kg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000</m:t>
        </m:r>
        <m:r>
          <m:rPr>
            <m:nor/>
            <m:sty m:val="p"/>
          </m:rPr>
          <m:t>g</m:t>
        </m:r>
      </m:oMath>
      <w:r>
        <w:t xml:space="preserve"> </w:t>
      </w:r>
      <w:r>
        <w:t xml:space="preserve">is true and correct.</w:t>
      </w:r>
    </w:p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10</m:t>
              </m:r>
              <m:r>
                <m:rPr>
                  <m:sty m:val="p"/>
                </m:rPr>
                <m:t>%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100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10</m:t>
                  </m:r>
                </m:num>
                <m:den>
                  <m:r>
                    <m:t>100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</m:t>
              </m:r>
            </m:e>
          </m:eqArr>
        </m:oMath>
      </m:oMathPara>
    </w:p>
    <w:p>
      <w:pPr>
        <w:pStyle w:val="FirstParagraph"/>
      </w:pPr>
      <w:r>
        <w:t xml:space="preserve">You are welcome to switch between decimal and percent notation freely;</w:t>
      </w:r>
      <w:r>
        <w:t xml:space="preserve"> </w:t>
      </w:r>
      <w:r>
        <w:t xml:space="preserve">just make sure you execute it correctly.</w:t>
      </w:r>
    </w:p>
    <w:bookmarkEnd w:id="27"/>
    <w:bookmarkStart w:id="28" w:name="proofs"/>
    <w:p>
      <w:pPr>
        <w:pStyle w:val="Heading2"/>
      </w:pPr>
      <w:r>
        <w:t xml:space="preserve">4 Proofs</w:t>
      </w:r>
    </w:p>
    <w:p>
      <w:pPr>
        <w:pStyle w:val="FirstParagraph"/>
      </w:pPr>
      <w:r>
        <w:t xml:space="preserve">We can use any of: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∴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\therefore</w:t>
      </w:r>
      <w:r>
        <w:t xml:space="preserve"> </w:t>
      </w:r>
      <w:r>
        <w:t xml:space="preserve">in LaTeX),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),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⊨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\models</w:t>
      </w:r>
      <w:r>
        <w:t xml:space="preserve">)</w:t>
      </w:r>
    </w:p>
    <w:p>
      <w:pPr>
        <w:pStyle w:val="FirstParagraph"/>
      </w:pPr>
      <w:r>
        <w:t xml:space="preserve">to denote logical entailments (deductive consequences).</w:t>
      </w:r>
    </w:p>
    <w:p>
      <w:pPr>
        <w:pStyle w:val="BodyText"/>
      </w:pPr>
      <w:r>
        <w:t xml:space="preserve">Let’s save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 for convergence results.</w:t>
      </w:r>
    </w:p>
    <w:bookmarkEnd w:id="28"/>
    <w:bookmarkStart w:id="48" w:name="sec-indicator-functions"/>
    <w:p>
      <w:pPr>
        <w:pStyle w:val="Heading2"/>
      </w:pPr>
      <w:r>
        <w:t xml:space="preserve">5 Indicator functions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indicator function</w:t>
      </w:r>
      <w:r>
        <w:t xml:space="preserve"> </w:t>
      </w:r>
      <w:r>
        <w:t xml:space="preserve">is a mathematical function that signals</w:t>
      </w:r>
      <w:r>
        <w:t xml:space="preserve"> </w:t>
      </w:r>
      <w:r>
        <w:t xml:space="preserve">whether an element belongs to a specified set,</w:t>
      </w:r>
      <w:r>
        <w:t xml:space="preserve"> </w:t>
      </w:r>
      <w:r>
        <w:t xml:space="preserve">or whether a given logical condition is satisfied.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indicator functions are ubiquitous:</w:t>
      </w:r>
      <w:r>
        <w:t xml:space="preserve"> </w:t>
      </w:r>
      <w:r>
        <w:t xml:space="preserve">they represent binary variables,</w:t>
      </w:r>
      <w:r>
        <w:t xml:space="preserve"> </w:t>
      </w:r>
      <w:r>
        <w:t xml:space="preserve">censor and event indicators in survival analysis,</w:t>
      </w:r>
      <w:r>
        <w:t xml:space="preserve"> </w:t>
      </w:r>
      <w:r>
        <w:t xml:space="preserve">membership in subpopulations,</w:t>
      </w:r>
      <w:r>
        <w:t xml:space="preserve"> </w:t>
      </w:r>
      <w:r>
        <w:t xml:space="preserve">and domain restrictions in integrals and sums.</w:t>
      </w:r>
    </w:p>
    <w:p>
      <w:pPr>
        <w:pStyle w:val="BodyText"/>
      </w:pPr>
      <w:r>
        <w:t xml:space="preserve">Despite their conceptual simplicity,</w:t>
      </w:r>
      <w:r>
        <w:t xml:space="preserve"> </w:t>
      </w:r>
      <w:r>
        <w:t xml:space="preserve">notation for indicator functions varies substantially across textbooks,</w:t>
      </w:r>
      <w:r>
        <w:t xml:space="preserve"> </w:t>
      </w:r>
      <w:r>
        <w:t xml:space="preserve">research papers,</w:t>
      </w:r>
      <w:r>
        <w:t xml:space="preserve"> </w:t>
      </w:r>
      <w:r>
        <w:t xml:space="preserve">and subfields.</w:t>
      </w:r>
      <w:r>
        <w:t xml:space="preserve"> </w:t>
      </w:r>
      <w:r>
        <w:t xml:space="preserve">This section summarizes the principal notational conventions.</w:t>
      </w:r>
    </w:p>
    <w:bookmarkStart w:id="29" w:name="def-indicator-function"/>
    <w:p>
      <w:pPr>
        <w:pStyle w:val="BodyText"/>
      </w:pPr>
      <w:r>
        <w:rPr>
          <w:b/>
          <w:bCs/>
        </w:rPr>
        <w:t xml:space="preserve">Definition 3 (Indicator function)</w:t>
      </w:r>
      <w:r>
        <w:t xml:space="preserve"> </w:t>
      </w:r>
      <w:r>
        <w:t xml:space="preserve">For any subset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ty m:val="p"/>
          </m:rPr>
          <m:t>Ω</m:t>
        </m:r>
      </m:oMath>
      <w:r>
        <w:t xml:space="preserve"> </w:t>
      </w:r>
      <w:r>
        <w:t xml:space="preserve">of a universal set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indicator function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rPr>
            <m:sty m:val="p"/>
          </m:rPr>
          <m:t>Ω</m:t>
        </m:r>
        <m:r>
          <m:rPr>
            <m:sty m:val="p"/>
          </m:rPr>
          <m:t>→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defined by: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∉</m:t>
                    </m:r>
                    <m:r>
                      <m:t>A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More generally,</w:t>
      </w:r>
      <w:r>
        <w:t xml:space="preserve"> </w:t>
      </w:r>
      <w:r>
        <w:t xml:space="preserve">for any logical proposition or predicate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indicator</w:t>
      </w:r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1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true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false</m:t>
                    </m:r>
                  </m:e>
                </m:mr>
              </m:m>
            </m:e>
          </m:d>
        </m:oMath>
      </m:oMathPara>
    </w:p>
    <w:bookmarkEnd w:id="29"/>
    <w:bookmarkStart w:id="31" w:name="exm-indicator-numerical"/>
    <w:p>
      <w:pPr>
        <w:pStyle w:val="FirstParagraph"/>
      </w:pPr>
      <w:r>
        <w:rPr>
          <w:b/>
          <w:bCs/>
        </w:rPr>
        <w:t xml:space="preserve">Example 2 (Evaluating set and predicate indicators)</w:t>
      </w:r>
      <w:r>
        <w:t xml:space="preserve"> </w:t>
      </w:r>
      <w:r>
        <w:t xml:space="preserve">Consider the real line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set of nonnegative numbers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continuous</w:t>
      </w:r>
      <w:r>
        <w:t xml:space="preserve"> </w:t>
      </w:r>
      <w:hyperlink r:id="rId30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Set indicator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Compact"/>
        <w:numPr>
          <w:ilvl w:val="1"/>
          <w:numId w:val="1006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3.5</m:t>
        </m:r>
      </m:oMath>
      <w:r>
        <w:t xml:space="preserve">: since</w:t>
      </w:r>
      <w:r>
        <w:t xml:space="preserve"> </w:t>
      </w:r>
      <m:oMath>
        <m:r>
          <m:t>3.5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3.5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2.1</m:t>
        </m:r>
      </m:oMath>
      <w:r>
        <w:t xml:space="preserve">: since</w:t>
      </w:r>
      <w:r>
        <w:t xml:space="preserve"> </w:t>
      </w:r>
      <m:oMath>
        <m:r>
          <m:rPr>
            <m:sty m:val="p"/>
          </m:rPr>
          <m:t>−</m:t>
        </m:r>
        <m:r>
          <m:t>2.1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rPr>
            <m:sty m:val="p"/>
          </m:rPr>
          <m:t>−</m:t>
        </m:r>
        <m:r>
          <m:t>2.1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Predicate indicator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1"/>
          <w:numId w:val="1007"/>
        </w:numPr>
      </w:pPr>
      <w:r>
        <w:t xml:space="preserve">If an observation yields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7.2</m:t>
        </m:r>
      </m:oMath>
      <w:r>
        <w:t xml:space="preserve">,</w:t>
      </w:r>
      <w:r>
        <w:t xml:space="preserve"> </w:t>
      </w:r>
      <w:r>
        <w:t xml:space="preserve">the predicate</w:t>
      </w:r>
      <w:r>
        <w:t xml:space="preserve"> </w:t>
      </w:r>
      <m:oMath>
        <m:r>
          <m:t>7.2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7.2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If an observation yields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4.1</m:t>
        </m:r>
      </m:oMath>
      <w:r>
        <w:t xml:space="preserve">,</w:t>
      </w:r>
      <w:r>
        <w:t xml:space="preserve"> </w:t>
      </w:r>
      <w:r>
        <w:t xml:space="preserve">the predicate</w:t>
      </w:r>
      <w:r>
        <w:t xml:space="preserve"> </w:t>
      </w:r>
      <m:oMath>
        <m:r>
          <m:t>4.1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4.1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1"/>
    <w:bookmarkStart w:id="35" w:name="X156504d913efc1f49ad7c2e43ace68824d2fb5d"/>
    <w:p>
      <w:pPr>
        <w:pStyle w:val="Heading3"/>
      </w:pPr>
      <w:r>
        <w:t xml:space="preserve">5.1 Two primary notational paradigms: set vs. predicate notation</w:t>
      </w:r>
    </w:p>
    <w:p>
      <w:pPr>
        <w:pStyle w:val="FirstParagraph"/>
      </w:pPr>
      <w:r>
        <w:t xml:space="preserve">The vast majority of indicator notations belong to one of two families:</w:t>
      </w:r>
      <w:r>
        <w:t xml:space="preserve"> </w:t>
      </w:r>
      <w:r>
        <w:rPr>
          <w:b/>
          <w:bCs/>
        </w:rPr>
        <w:t xml:space="preserve">set notation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predicate notation</w:t>
      </w:r>
      <w:r>
        <w:t xml:space="preserve">.</w:t>
      </w:r>
    </w:p>
    <w:bookmarkStart w:id="32" w:name="set-notation"/>
    <w:p>
      <w:pPr>
        <w:pStyle w:val="Heading4"/>
      </w:pPr>
      <w:r>
        <w:t xml:space="preserve">Set notation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set notation</w:t>
      </w:r>
      <w:r>
        <w:t xml:space="preserve">,</w:t>
      </w:r>
      <w:r>
        <w:t xml:space="preserve"> </w:t>
      </w:r>
      <w:r>
        <w:t xml:space="preserve">the indicator is tied to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appears as a subscript: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(bold numeral one)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numeral one)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(capital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rPr>
                <m:scr m:val="double-struck"/>
                <m:sty m:val="p"/>
              </m:rP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χ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(Greek letter chi, historically termed the</w:t>
      </w:r>
      <w:r>
        <w:t xml:space="preserve"> </w:t>
      </w:r>
      <w:r>
        <w:rPr>
          <w:i/>
          <w:iCs/>
        </w:rPr>
        <w:t xml:space="preserve">characteristic function</w:t>
      </w:r>
      <w:r>
        <w:t xml:space="preserve">)</w:t>
      </w:r>
    </w:p>
    <w:p>
      <w:pPr>
        <w:pStyle w:val="FirstParagraph"/>
      </w:pPr>
      <w:r>
        <w:t xml:space="preserve">When the function is viewed as a mathematical object in its own right</w:t>
      </w:r>
      <w:r>
        <w:t xml:space="preserve"> </w:t>
      </w:r>
      <w:r>
        <w:t xml:space="preserve">(for instance, as an element of an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function space),</w:t>
      </w:r>
      <w:r>
        <w:t xml:space="preserve"> </w:t>
      </w:r>
      <w:r>
        <w:t xml:space="preserve">authors often omit the argument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writing simply</w:t>
      </w:r>
      <w:r>
        <w:t xml:space="preserve"> </w:t>
      </w: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, or</w:t>
      </w:r>
      <w:r>
        <w:t xml:space="preserve"> </w:t>
      </w:r>
      <m:oMath>
        <m:sSub>
          <m:e>
            <m:r>
              <m:t>I</m:t>
            </m:r>
          </m:e>
          <m:sub>
            <m:r>
              <m:t>A</m:t>
            </m:r>
          </m:sub>
        </m:sSub>
      </m:oMath>
      <w:r>
        <w:t xml:space="preserve">.</w:t>
      </w:r>
    </w:p>
    <w:bookmarkEnd w:id="32"/>
    <w:bookmarkStart w:id="33" w:name="predicate-notation"/>
    <w:p>
      <w:pPr>
        <w:pStyle w:val="Heading4"/>
      </w:pPr>
      <w:r>
        <w:t xml:space="preserve">Predicate notation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predicate notation</w:t>
      </w:r>
      <w:r>
        <w:t xml:space="preserve">,</w:t>
      </w:r>
      <w:r>
        <w:t xml:space="preserve"> </w:t>
      </w:r>
      <w:r>
        <w:t xml:space="preserve">the indicator takes a logical condition,</w:t>
      </w:r>
      <w:r>
        <w:t xml:space="preserve"> </w:t>
      </w:r>
      <w:r>
        <w:t xml:space="preserve">relation,</w:t>
      </w:r>
      <w:r>
        <w:t xml:space="preserve"> </w:t>
      </w:r>
      <w:r>
        <w:t xml:space="preserve">or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directly as its argument or subscript:</w:t>
      </w:r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9"/>
        </w:numPr>
      </w:pP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P</m:t>
        </m:r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09"/>
        </w:numPr>
      </w:pP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Predicate notation is especially common in applied statistics and survival analysis,</w:t>
      </w:r>
      <w:r>
        <w:t xml:space="preserve"> </w:t>
      </w:r>
      <w:r>
        <w:t xml:space="preserve">where indicators frequently depend on inequalities involving random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(an event occurring before time</w:t>
      </w:r>
      <w:r>
        <w:t xml:space="preserve"> </w:t>
      </w:r>
      <m:oMath>
        <m:r>
          <m:t>t</m:t>
        </m:r>
      </m:oMath>
      <w:r>
        <w:t xml:space="preserve">)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(a binary outcome).</w:t>
      </w:r>
    </w:p>
    <w:bookmarkEnd w:id="33"/>
    <w:bookmarkStart w:id="34" w:name="equivalence-between-paradigms"/>
    <w:p>
      <w:pPr>
        <w:pStyle w:val="Heading4"/>
      </w:pPr>
      <w:r>
        <w:t xml:space="preserve">Equivalence between paradigms</w:t>
      </w:r>
    </w:p>
    <w:p>
      <w:pPr>
        <w:pStyle w:val="FirstParagraph"/>
      </w:pPr>
      <w:r>
        <w:t xml:space="preserve">The two paradigms are connected by evaluating the predicate indicator</w:t>
      </w:r>
      <w:r>
        <w:t xml:space="preserve"> </w:t>
      </w:r>
      <w:r>
        <w:t xml:space="preserve">at the membership statement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Set notation is more natural when the underlying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standard name</w:t>
      </w:r>
      <w:r>
        <w:t xml:space="preserve"> </w:t>
      </w:r>
      <w:r>
        <w:t xml:space="preserve">(such as the support of a distribution or a geometric region).</w:t>
      </w:r>
      <w:r>
        <w:t xml:space="preserve"> </w:t>
      </w:r>
      <w:r>
        <w:t xml:space="preserve">Predicate notation is more natural when the condition involves compound inequalities,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.</w:t>
      </w:r>
    </w:p>
    <w:bookmarkEnd w:id="34"/>
    <w:bookmarkEnd w:id="35"/>
    <w:bookmarkStart w:id="42" w:name="iverson-bracket-notation"/>
    <w:p>
      <w:pPr>
        <w:pStyle w:val="Heading3"/>
      </w:pPr>
      <w:r>
        <w:t xml:space="preserve">5.2 Iverson bracket notation</w:t>
      </w:r>
    </w:p>
    <w:p>
      <w:pPr>
        <w:pStyle w:val="FirstParagraph"/>
      </w:pPr>
      <w:r>
        <w:t xml:space="preserve">In 1962,</w:t>
      </w:r>
      <w:r>
        <w:t xml:space="preserve"> </w:t>
      </w:r>
      <w:r>
        <w:t xml:space="preserve">Kenneth Iverson introduced a compact notation in the programming language APL,</w:t>
      </w:r>
      <w:r>
        <w:t xml:space="preserve"> </w:t>
      </w:r>
      <w:r>
        <w:t xml:space="preserve">later popularized in mathematics and computer science by Donald Knuth:</w:t>
      </w:r>
      <w:r>
        <w:t xml:space="preserve"> </w:t>
      </w:r>
      <w:r>
        <w:t xml:space="preserve">the</w:t>
      </w:r>
      <w:r>
        <w:t xml:space="preserve"> </w:t>
      </w:r>
      <w:hyperlink r:id="rId36">
        <w:r>
          <w:rPr>
            <w:rStyle w:val="Hyperlink"/>
          </w:rPr>
          <w:t xml:space="preserve">Iverson bracket</w:t>
        </w:r>
      </w:hyperlink>
      <w:r>
        <w:t xml:space="preserve">.</w:t>
      </w:r>
    </w:p>
    <w:bookmarkStart w:id="37" w:name="def-iverson-bracket"/>
    <w:p>
      <w:pPr>
        <w:pStyle w:val="BodyText"/>
      </w:pPr>
      <w:r>
        <w:rPr>
          <w:b/>
          <w:bCs/>
        </w:rPr>
        <w:t xml:space="preserve">Definition 4 (Iverson bracket)</w:t>
      </w:r>
      <w:r>
        <w:t xml:space="preserve"> </w:t>
      </w:r>
      <w:r>
        <w:t xml:space="preserve">For any logical proposition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Iverson bracket</w:t>
      </w:r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P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true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false</m:t>
                    </m:r>
                  </m:e>
                </m:mr>
              </m:m>
            </m:e>
          </m:d>
        </m:oMath>
      </m:oMathPara>
    </w:p>
    <w:bookmarkEnd w:id="37"/>
    <w:p>
      <w:pPr>
        <w:pStyle w:val="FirstParagraph"/>
      </w:pPr>
      <w:r>
        <w:t xml:space="preserve">The Iverson bracket</w:t>
      </w:r>
      <w:r>
        <w:t xml:space="preserve"> </w:t>
      </w:r>
      <m:oMath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</m:oMath>
      <w:r>
        <w:t xml:space="preserve"> </w:t>
      </w:r>
      <w:r>
        <w:t xml:space="preserve">is the predicate indicator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indicator-function">
        <w:r>
          <w:rPr>
            <w:rStyle w:val="Hyperlink"/>
          </w:rPr>
          <w:t xml:space="preserve">Definition 3</w:t>
        </w:r>
      </w:hyperlink>
      <w:r>
        <w:t xml:space="preserve">) in different notation.</w:t>
      </w:r>
      <w:r>
        <w:t xml:space="preserve"> </w:t>
      </w:r>
      <w:r>
        <w:t xml:space="preserve">Under this notation,</w:t>
      </w:r>
      <w:r>
        <w:t xml:space="preserve"> </w:t>
      </w:r>
      <w:r>
        <w:t xml:space="preserve">set membership is written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bookmarkStart w:id="38" w:name="exm-iverson-bracket"/>
    <w:p>
      <w:pPr>
        <w:pStyle w:val="BodyText"/>
      </w:pPr>
      <w:r>
        <w:rPr>
          <w:b/>
          <w:bCs/>
        </w:rPr>
        <w:t xml:space="preserve">Example 3 (Evaluating Iverson brackets)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[</m:t>
        </m:r>
        <m:r>
          <m:t>3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, 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[</m:t>
        </m:r>
        <m:r>
          <m:t>4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bookmarkEnd w:id="38"/>
    <w:bookmarkStart w:id="39" w:name="def-kronecker-delta"/>
    <w:p>
      <w:pPr>
        <w:pStyle w:val="FirstParagraph"/>
      </w:pPr>
      <w:r>
        <w:rPr>
          <w:b/>
          <w:bCs/>
        </w:rPr>
        <w:t xml:space="preserve">Definition 5 (Kronecker delta)</w:t>
      </w:r>
      <w:r>
        <w:t xml:space="preserve"> </w:t>
      </w:r>
      <w:r>
        <w:t xml:space="preserve">For integers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Kronecker delta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δ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=</m:t>
          </m:r>
          <m:r>
            <m:t>j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(</w:t>
      </w:r>
      <w:hyperlink w:anchor="def-iverson-bracket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39"/>
    <w:bookmarkStart w:id="41" w:name="exm-kronecker-delta"/>
    <w:p>
      <w:pPr>
        <w:pStyle w:val="BodyText"/>
      </w:pPr>
      <w:r>
        <w:rPr>
          <w:b/>
          <w:bCs/>
        </w:rPr>
        <w:t xml:space="preserve">Example 4 (Evaluating the Kronecker delta)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δ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δ</m:t>
            </m:r>
          </m:e>
          <m:sub>
            <m:r>
              <m:t>23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entries of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identity matrix</w:t>
      </w:r>
      <w:r>
        <w:t xml:space="preserve"> </w:t>
      </w:r>
      <w:r>
        <w:t xml:space="preserve">are Kronecker deltas: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(see</w:t>
      </w:r>
      <w:r>
        <w:t xml:space="preserve"> </w:t>
      </w:r>
      <w:hyperlink r:id="rId40">
        <w:r>
          <w:rPr>
            <w:rStyle w:val="Hyperlink"/>
          </w:rPr>
          <w:t xml:space="preserve">identity matrix</w:t>
        </w:r>
      </w:hyperlink>
      <w:r>
        <w:t xml:space="preserve">).</w:t>
      </w:r>
    </w:p>
    <w:bookmarkEnd w:id="41"/>
    <w:bookmarkEnd w:id="42"/>
    <w:bookmarkStart w:id="43" w:name="Xd6f58182005cccf55080a628cd9152d2b1165ed"/>
    <w:p>
      <w:pPr>
        <w:pStyle w:val="Heading3"/>
      </w:pPr>
      <w:r>
        <w:t xml:space="preserve">5.3 Strengths and limitations of the Iverson bracket</w:t>
      </w:r>
    </w:p>
    <w:p>
      <w:pPr>
        <w:pStyle w:val="FirstParagraph"/>
      </w:pPr>
      <w:r>
        <w:t xml:space="preserve">The primary advantage of the Iverson bracket is algebraic conciseness:</w:t>
      </w:r>
      <w:r>
        <w:t xml:space="preserve"> </w:t>
      </w:r>
      <w:r>
        <w:t xml:space="preserve">it converts domain restrictions in sums and integrals into unrestricted operations.</w:t>
      </w:r>
      <w:r>
        <w:t xml:space="preserve"> </w:t>
      </w:r>
      <w:r>
        <w:t xml:space="preserve">For example: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running over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both sides equal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However,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square brackets are already heavily overloaded:</w:t>
      </w:r>
      <w:r>
        <w:t xml:space="preserve"> </w:t>
      </w:r>
      <w:r>
        <w:t xml:space="preserve">they denote closed intervals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conditional expectations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matrix delimiters.</w:t>
      </w:r>
      <w:r>
        <w:t xml:space="preserve"> </w:t>
      </w:r>
      <w:r>
        <w:t xml:space="preserve">To prevent visual confusion with expectation brackets or intervals,</w:t>
      </w:r>
      <w:r>
        <w:t xml:space="preserve"> </w:t>
      </w:r>
      <w:r>
        <w:t xml:space="preserve">statistical literature predominantly uses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rather than the bare Iverson bracket.</w:t>
      </w:r>
    </w:p>
    <w:bookmarkEnd w:id="43"/>
    <w:bookmarkStart w:id="45" w:name="summary-of-indicator-notations"/>
    <w:p>
      <w:pPr>
        <w:pStyle w:val="Heading3"/>
      </w:pPr>
      <w:r>
        <w:t xml:space="preserve">5.4 Summary of indicator notations</w:t>
      </w:r>
    </w:p>
    <w:p>
      <w:pPr>
        <w:pStyle w:val="FirstParagraph"/>
      </w:pPr>
      <w:hyperlink w:anchor="tbl-indicator-notations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compares the major notations encountered across the literature.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tbl-indicator-notat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Notations for indicator functions across mathematical and statistical literature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64"/>
              <w:gridCol w:w="1564"/>
              <w:gridCol w:w="1564"/>
              <w:gridCol w:w="322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Notation style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Typical syntax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Primary fields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Notes and potential ambiguities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Modern probability, mathematical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Unambiguous; distinct from matrices and scalars; standard in this book.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Bold numeral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ty m:val="b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theory,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a vector of ones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Econometrics, machine learning,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Clear predicate notation; avoids confusion with numerals.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I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I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Classical statistics, epidemiology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the identity matrix</w:t>
                  </w:r>
                  <w:r>
                    <w:t xml:space="preserve"> </w:t>
                  </w:r>
                  <m:oMath>
                    <m:r>
                      <m:t>I</m:t>
                    </m:r>
                  </m:oMath>
                  <w:r>
                    <w:t xml:space="preserve"> </w:t>
                  </w:r>
                  <w:r>
                    <w:t xml:space="preserve">or Fisher information</w:t>
                  </w:r>
                  <w:r>
                    <w:t xml:space="preserve"> </w:t>
                  </w: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Iverson bracket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[</m:t>
                    </m:r>
                    <m:r>
                      <m:t>P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Computer science, discrete mathematics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Very compact, but square brackets collide with intervals and expectation brackets.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Greek 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χ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Real analysis,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Often termed</w:t>
                  </w:r>
                  <w:r>
                    <w:t xml:space="preserve"> </w:t>
                  </w:r>
                  <w:r>
                    <w:t xml:space="preserve">“characteristic function”</w:t>
                  </w:r>
                  <w:r>
                    <w:t xml:space="preserve">; collides with the Fourier transform in probability.</w:t>
                  </w:r>
                </w:p>
              </w:tc>
            </w:tr>
          </w:tbl>
          <w:bookmarkEnd w:id="44"/>
          <w:p/>
        </w:tc>
      </w:tr>
    </w:tbl>
    <w:bookmarkEnd w:id="45"/>
    <w:bookmarkStart w:id="46" w:name="conventions-in-this-book"/>
    <w:p>
      <w:pPr>
        <w:pStyle w:val="Heading3"/>
      </w:pPr>
      <w:r>
        <w:t xml:space="preserve">5.5 Conventions in this book</w:t>
      </w:r>
    </w:p>
    <w:p>
      <w:pPr>
        <w:pStyle w:val="FirstParagraph"/>
      </w:pPr>
      <w:r>
        <w:t xml:space="preserve">In these notes,</w:t>
      </w:r>
      <w:r>
        <w:t xml:space="preserve"> </w:t>
      </w:r>
      <w:r>
        <w:t xml:space="preserve">we standardize on 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via the macros defined in</w:t>
      </w:r>
      <w:r>
        <w:t xml:space="preserve"> </w:t>
      </w:r>
      <w:r>
        <w:rPr>
          <w:rStyle w:val="VerbatimChar"/>
        </w:rPr>
        <w:t xml:space="preserve">latex-macros/macros.qmd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\indic{A}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(set subscript)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\indicp{P}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parentheses)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\indiccb{P}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curly braces)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\1{P}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nor/>
                <m:sty m:val="p"/>
              </m:rPr>
              <m:t>1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(text numeral with subscript, used in legacy formulas)</w:t>
      </w:r>
    </w:p>
    <w:p>
      <w:pPr>
        <w:pStyle w:val="FirstParagraph"/>
      </w:pPr>
      <w:r>
        <w:t xml:space="preserve">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is preferred because it avoids all common collisions:</w:t>
      </w:r>
      <w:r>
        <w:t xml:space="preserve"> </w:t>
      </w:r>
      <w:r>
        <w:t xml:space="preserve">it is visually distinct from the scalar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 identity matrix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 the information matrices (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).</w:t>
      </w:r>
    </w:p>
    <w:bookmarkEnd w:id="46"/>
    <w:bookmarkStart w:id="47" w:name="key-algebraic-properties"/>
    <w:p>
      <w:pPr>
        <w:pStyle w:val="Heading3"/>
      </w:pPr>
      <w:r>
        <w:t xml:space="preserve">5.6 Key algebraic properties</w:t>
      </w:r>
    </w:p>
    <w:p>
      <w:pPr>
        <w:pStyle w:val="FirstParagraph"/>
      </w:pPr>
      <w:r>
        <w:t xml:space="preserve">Indicator functions translate logical operations on events into ordinary arithmetic on real numbers:</w:t>
      </w:r>
    </w:p>
    <w:p>
      <w:pPr>
        <w:pStyle w:val="BodyText"/>
      </w:pPr>
      <w:r>
        <w:t xml:space="preserve">For subsets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with complement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and 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: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Intersection (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3"/>
        </w:numPr>
      </w:pPr>
      <w:r>
        <w:rPr>
          <w:b/>
          <w:bCs/>
        </w:rPr>
        <w:t xml:space="preserve">Union (</w:t>
      </w:r>
      <w:r>
        <w:rPr>
          <w:b/>
          <w:bCs/>
        </w:rPr>
        <w:t xml:space="preserve">“or”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3"/>
        </w:numPr>
      </w:pPr>
      <w:r>
        <w:rPr>
          <w:b/>
          <w:bCs/>
        </w:rPr>
        <w:t xml:space="preserve">Complement (</w:t>
      </w:r>
      <w:r>
        <w:rPr>
          <w:b/>
          <w:bCs/>
        </w:rPr>
        <w:t xml:space="preserve">“not”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sSup>
              <m:e>
                <m:r>
                  <m:t>A</m:t>
                </m:r>
              </m:e>
              <m:sup>
                <m:r>
                  <m:t>c</m:t>
                </m:r>
              </m:sup>
            </m:sSup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3"/>
        </w:numPr>
      </w:pPr>
      <w:r>
        <w:rPr>
          <w:b/>
          <w:bCs/>
        </w:rPr>
        <w:t xml:space="preserve">Idempotence: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3"/>
        </w:numPr>
      </w:pPr>
      <w:r>
        <w:rPr>
          <w:b/>
          <w:bCs/>
        </w:rPr>
        <w:t xml:space="preserve">Expectation gives probability: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 indicator is the probability of the event: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rPr>
              <m:sty m:val="p"/>
            </m:rPr>
            <m:t>[</m:t>
          </m:r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p>
            <m:e>
              <m:r>
                <m:t>A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This fundamental identity connects probability theory directly to linear expectation.</w:t>
      </w:r>
      <w:r>
        <w:t xml:space="preserve"> </w:t>
      </w:r>
      <w:r>
        <w:t xml:space="preserve">It provides the mathematical foundation for empirical proportions,</w:t>
      </w:r>
      <w:r>
        <w:t xml:space="preserve"> </w:t>
      </w:r>
      <w:r>
        <w:t xml:space="preserve">survival curve estimators,</w:t>
      </w:r>
      <w:r>
        <w:t xml:space="preserve"> </w:t>
      </w:r>
      <w:r>
        <w:t xml:space="preserve">and regression models for binary outcomes.</w:t>
      </w:r>
    </w:p>
    <w:bookmarkEnd w:id="47"/>
    <w:bookmarkEnd w:id="48"/>
    <w:bookmarkStart w:id="55" w:name="X93a3d4ef5e06a67ae6b891e46b41b74b3674f55"/>
    <w:p>
      <w:pPr>
        <w:pStyle w:val="Heading2"/>
      </w:pPr>
      <w:r>
        <w:t xml:space="preserve">6 Why is notation in probability and statistics so inconsistent and disorganized?</w:t>
      </w:r>
    </w:p>
    <w:p>
      <w:pPr>
        <w:pStyle w:val="FirstParagraph"/>
      </w:pPr>
      <w:r>
        <w:t xml:space="preserve">In grad school,</w:t>
      </w:r>
      <w:r>
        <w:t xml:space="preserve"> </w:t>
      </w:r>
      <w:r>
        <w:t xml:space="preserve">we are asked to learn</w:t>
      </w:r>
      <w:r>
        <w:t xml:space="preserve"> </w:t>
      </w:r>
      <w:r>
        <w:t xml:space="preserve">from increasingly disorganized materials and lectures.</w:t>
      </w:r>
      <w:r>
        <w:t xml:space="preserve"> </w:t>
      </w:r>
      <w:r>
        <w:t xml:space="preserve">Not coincidentally,</w:t>
      </w:r>
      <w:r>
        <w:t xml:space="preserve"> </w:t>
      </w:r>
      <w:r>
        <w:t xml:space="preserve">as the amount of organization decreases,</w:t>
      </w:r>
      <w:r>
        <w:t xml:space="preserve"> </w:t>
      </w:r>
      <w:r>
        <w:t xml:space="preserve">the amount of complexity increases,</w:t>
      </w:r>
      <w:r>
        <w:t xml:space="preserve"> </w:t>
      </w:r>
      <w:r>
        <w:t xml:space="preserve">the amount of difficulty increases,</w:t>
      </w:r>
      <w:r>
        <w:t xml:space="preserve"> </w:t>
      </w:r>
      <w:r>
        <w:t xml:space="preserve">the number of reliable references decreases,</w:t>
      </w:r>
      <w:r>
        <w:t xml:space="preserve"> </w:t>
      </w:r>
      <w:r>
        <w:t xml:space="preserve">and the amount of inconsistency in notation and content increases</w:t>
      </w:r>
      <w:r>
        <w:t xml:space="preserve"> </w:t>
      </w:r>
      <w:r>
        <w:t xml:space="preserve">(both between multiple references and within single references!).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as you approach the cutting-edge of most fields,</w:t>
      </w:r>
      <w:r>
        <w:t xml:space="preserve"> </w:t>
      </w:r>
      <w:r>
        <w:t xml:space="preserve">you start to run into content</w:t>
      </w:r>
      <w:r>
        <w:t xml:space="preserve"> </w:t>
      </w:r>
      <w:r>
        <w:t xml:space="preserve">that hasn’t been fully thought through or standardized.</w:t>
      </w:r>
      <w:r>
        <w:t xml:space="preserve"> </w:t>
      </w:r>
      <w:r>
        <w:t xml:space="preserve">This lack of clarity</w:t>
      </w:r>
      <w:r>
        <w:t xml:space="preserve"> </w:t>
      </w:r>
      <w:r>
        <w:t xml:space="preserve">is unfortunate and undesirable,</w:t>
      </w:r>
      <w:r>
        <w:t xml:space="preserve"> </w:t>
      </w:r>
      <w:r>
        <w:t xml:space="preserve">but it is understandable and inevitable.</w:t>
      </w:r>
    </w:p>
    <w:p>
      <w:pPr>
        <w:pStyle w:val="BodyText"/>
      </w:pPr>
      <w:r>
        <w:t xml:space="preserve">It’s worth noting</w:t>
      </w:r>
      <w:r>
        <w:t xml:space="preserve"> </w:t>
      </w:r>
      <w:r>
        <w:t xml:space="preserve">that calculus was formalized in the</w:t>
      </w:r>
      <w:r>
        <w:t xml:space="preserve"> </w:t>
      </w:r>
      <w:hyperlink r:id="rId49">
        <w:r>
          <w:rPr>
            <w:rStyle w:val="Hyperlink"/>
          </w:rPr>
          <w:t xml:space="preserve">1600s</w:t>
        </w:r>
      </w:hyperlink>
      <w:r>
        <w:t xml:space="preserve">,</w:t>
      </w:r>
      <w:r>
        <w:t xml:space="preserve"> </w:t>
      </w:r>
      <w:r>
        <w:t xml:space="preserve">elementary algebra was formalized around</w:t>
      </w:r>
      <w:r>
        <w:t xml:space="preserve"> </w:t>
      </w:r>
      <w:hyperlink r:id="rId50">
        <w:r>
          <w:rPr>
            <w:rStyle w:val="Hyperlink"/>
          </w:rPr>
          <w:t xml:space="preserve">820</w:t>
        </w:r>
      </w:hyperlink>
      <w:r>
        <w:t xml:space="preserve">,</w:t>
      </w:r>
      <w:r>
        <w:t xml:space="preserve"> </w:t>
      </w:r>
      <w:r>
        <w:t xml:space="preserve">and arithmetic</w:t>
      </w:r>
      <w:r>
        <w:t xml:space="preserve"> </w:t>
      </w:r>
      <w:hyperlink r:id="rId51">
        <w:r>
          <w:rPr>
            <w:rStyle w:val="Hyperlink"/>
          </w:rPr>
          <w:t xml:space="preserve">even earlier</w:t>
        </w:r>
      </w:hyperlink>
      <w:r>
        <w:t xml:space="preserve">.</w:t>
      </w:r>
      <w:r>
        <w:t xml:space="preserve"> </w:t>
      </w:r>
      <w:r>
        <w:t xml:space="preserve">And calculus still has</w:t>
      </w:r>
      <w:r>
        <w:t xml:space="preserve"> </w:t>
      </w:r>
      <w:hyperlink r:id="rId52">
        <w:r>
          <w:rPr>
            <w:rStyle w:val="Hyperlink"/>
          </w:rPr>
          <w:t xml:space="preserve">several competing notation systems</w:t>
        </w:r>
      </w:hyperlink>
      <w:r>
        <w:t xml:space="preserve">.</w:t>
      </w:r>
      <w:r>
        <w:t xml:space="preserve"> </w:t>
      </w:r>
      <w:r>
        <w:t xml:space="preserve">In contrast, the field of statistics only emerged in the</w:t>
      </w:r>
      <w:r>
        <w:t xml:space="preserve"> </w:t>
      </w:r>
      <w:hyperlink r:id="rId53">
        <w:r>
          <w:rPr>
            <w:rStyle w:val="Hyperlink"/>
          </w:rPr>
          <w:t xml:space="preserve">late 1800s and early 1900s</w:t>
        </w:r>
      </w:hyperlink>
      <w:r>
        <w:t xml:space="preserve">,</w:t>
      </w:r>
      <w:r>
        <w:t xml:space="preserve"> </w:t>
      </w:r>
      <w:r>
        <w:t xml:space="preserve">so it’s not surprising that the notation and terminology is still developing.</w:t>
      </w:r>
      <w:r>
        <w:t xml:space="preserve"> </w:t>
      </w:r>
      <w:r>
        <w:t xml:space="preserve">Generalized linear models were only formalized in 1972</w:t>
      </w:r>
      <w:r>
        <w:t xml:space="preserve"> </w:t>
      </w:r>
      <w:r>
        <w:t xml:space="preserve">(Nelder and Wedderburn 1972)</w:t>
      </w:r>
      <w:r>
        <w:t xml:space="preserve">,</w:t>
      </w:r>
      <w:r>
        <w:t xml:space="preserve"> </w:t>
      </w:r>
      <w:r>
        <w:t xml:space="preserve">which is very recent in terms of the</w:t>
      </w:r>
      <w:r>
        <w:t xml:space="preserve"> </w:t>
      </w:r>
      <w:hyperlink r:id="rId54">
        <w:r>
          <w:rPr>
            <w:rStyle w:val="Hyperlink"/>
          </w:rPr>
          <w:t xml:space="preserve">pace of scientific development</w:t>
        </w:r>
      </w:hyperlink>
      <w:r>
        <w:t xml:space="preserve">.</w:t>
      </w:r>
    </w:p>
    <w:bookmarkEnd w:id="55"/>
    <w:bookmarkStart w:id="59" w:name="references"/>
    <w:p>
      <w:pPr>
        <w:pStyle w:val="Heading2"/>
      </w:pPr>
      <w:r>
        <w:t xml:space="preserve">References</w:t>
      </w:r>
    </w:p>
    <w:bookmarkStart w:id="58" w:name="refs"/>
    <w:bookmarkStart w:id="57" w:name="ref-nelder1972generalized"/>
    <w:p>
      <w:pPr>
        <w:pStyle w:val="Bibliography"/>
      </w:pPr>
      <w:r>
        <w:t xml:space="preserve">Nelder, John Ashworth, and Robert WM Wedderburn. 1972.</w:t>
      </w:r>
      <w:r>
        <w:t xml:space="preserve"> </w:t>
      </w:r>
      <w:r>
        <w:t xml:space="preserve">“Generalized Linear Models.”</w:t>
      </w:r>
      <w:r>
        <w:t xml:space="preserve"> </w:t>
      </w:r>
      <w:r>
        <w:rPr>
          <w:i/>
          <w:iCs/>
        </w:rPr>
        <w:t xml:space="preserve">Journal of the Royal Statistical Society Series A: Statistics in Society</w:t>
      </w:r>
      <w:r>
        <w:t xml:space="preserve"> </w:t>
      </w:r>
      <w:r>
        <w:t xml:space="preserve">135 (3): 370–84.</w:t>
      </w:r>
      <w:r>
        <w:t xml:space="preserve"> </w:t>
      </w:r>
      <w:hyperlink r:id="rId56">
        <w:r>
          <w:rPr>
            <w:rStyle w:val="Hyperlink"/>
          </w:rPr>
          <w:t xml:space="preserve">https://doi.org/10.2307/2344614</w:t>
        </w:r>
      </w:hyperlink>
      <w:r>
        <w:t xml:space="preserve">.</w:t>
      </w:r>
    </w:p>
    <w:bookmarkEnd w:id="57"/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depending on whether it is applied to a matrix or a function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hyperlink" Id="rId56" Target="https://doi.org/10.2307/2344614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0" Target="https://en.wikipedia.org/wiki/Al-Jabr" TargetMode="External" /><Relationship Type="http://schemas.openxmlformats.org/officeDocument/2006/relationships/hyperlink" Id="rId51" Target="https://en.wikipedia.org/wiki/Arithmetic#History" TargetMode="External" /><Relationship Type="http://schemas.openxmlformats.org/officeDocument/2006/relationships/hyperlink" Id="rId12" Target="https://en.wikipedia.org/wiki/Generalized_linear_model#:~:text=The%20linear%20predictor%20is%20the,data%20through%20the%20link%20function" TargetMode="External" /><Relationship Type="http://schemas.openxmlformats.org/officeDocument/2006/relationships/hyperlink" Id="rId53" Target="https://en.wikipedia.org/wiki/History_of_statistics#Development_of_modern_statistics" TargetMode="External" /><Relationship Type="http://schemas.openxmlformats.org/officeDocument/2006/relationships/hyperlink" Id="rId36" Target="https://en.wikipedia.org/wiki/Iverson_bracket" TargetMode="External" /><Relationship Type="http://schemas.openxmlformats.org/officeDocument/2006/relationships/hyperlink" Id="rId49" Target="https://en.wikipedia.org/wiki/Leibniz%27s_notation" TargetMode="External" /><Relationship Type="http://schemas.openxmlformats.org/officeDocument/2006/relationships/hyperlink" Id="rId52" Target="https://en.wikipedia.org/wiki/Notation_for_differentiation" TargetMode="External" /><Relationship Type="http://schemas.openxmlformats.org/officeDocument/2006/relationships/hyperlink" Id="rId26" Target="https://en.wikipedia.org/wiki/Percentage" TargetMode="External" /><Relationship Type="http://schemas.openxmlformats.org/officeDocument/2006/relationships/hyperlink" Id="rId54" Target="https://en.wikipedia.org/wiki/The_Structure_of_Scientific_Revolutions" TargetMode="External" /><Relationship Type="http://schemas.openxmlformats.org/officeDocument/2006/relationships/hyperlink" Id="rId30" Target="https://morrison-lab.github.io/rme/chapters/probability.html" TargetMode="External" /><Relationship Type="http://schemas.openxmlformats.org/officeDocument/2006/relationships/hyperlink" Id="rId9" Target="https://morrison-lab.github.io/rme/chapters/probability.html#def-expectation" TargetMode="External" /><Relationship Type="http://schemas.openxmlformats.org/officeDocument/2006/relationships/hyperlink" Id="rId11" Target="https://morrison-lab.github.io/rme/chapters/probability.html#def-indpt" TargetMode="External" /><Relationship Type="http://schemas.openxmlformats.org/officeDocument/2006/relationships/hyperlink" Id="rId14" Target="https://quarto.org/docs/authoring/markdown-basics.html#equations" TargetMode="External" /><Relationship Type="http://schemas.openxmlformats.org/officeDocument/2006/relationships/hyperlink" Id="rId40" Target="linear-algebra.qmd#def-identity-matri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s://doi.org/10.2307/2344614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0" Target="https://en.wikipedia.org/wiki/Al-Jabr" TargetMode="External" /><Relationship Type="http://schemas.openxmlformats.org/officeDocument/2006/relationships/hyperlink" Id="rId51" Target="https://en.wikipedia.org/wiki/Arithmetic#History" TargetMode="External" /><Relationship Type="http://schemas.openxmlformats.org/officeDocument/2006/relationships/hyperlink" Id="rId12" Target="https://en.wikipedia.org/wiki/Generalized_linear_model#:~:text=The%20linear%20predictor%20is%20the,data%20through%20the%20link%20function" TargetMode="External" /><Relationship Type="http://schemas.openxmlformats.org/officeDocument/2006/relationships/hyperlink" Id="rId53" Target="https://en.wikipedia.org/wiki/History_of_statistics#Development_of_modern_statistics" TargetMode="External" /><Relationship Type="http://schemas.openxmlformats.org/officeDocument/2006/relationships/hyperlink" Id="rId36" Target="https://en.wikipedia.org/wiki/Iverson_bracket" TargetMode="External" /><Relationship Type="http://schemas.openxmlformats.org/officeDocument/2006/relationships/hyperlink" Id="rId49" Target="https://en.wikipedia.org/wiki/Leibniz%27s_notation" TargetMode="External" /><Relationship Type="http://schemas.openxmlformats.org/officeDocument/2006/relationships/hyperlink" Id="rId52" Target="https://en.wikipedia.org/wiki/Notation_for_differentiation" TargetMode="External" /><Relationship Type="http://schemas.openxmlformats.org/officeDocument/2006/relationships/hyperlink" Id="rId26" Target="https://en.wikipedia.org/wiki/Percentage" TargetMode="External" /><Relationship Type="http://schemas.openxmlformats.org/officeDocument/2006/relationships/hyperlink" Id="rId54" Target="https://en.wikipedia.org/wiki/The_Structure_of_Scientific_Revolutions" TargetMode="External" /><Relationship Type="http://schemas.openxmlformats.org/officeDocument/2006/relationships/hyperlink" Id="rId30" Target="https://morrison-lab.github.io/rme/chapters/probability.html" TargetMode="External" /><Relationship Type="http://schemas.openxmlformats.org/officeDocument/2006/relationships/hyperlink" Id="rId9" Target="https://morrison-lab.github.io/rme/chapters/probability.html#def-expectation" TargetMode="External" /><Relationship Type="http://schemas.openxmlformats.org/officeDocument/2006/relationships/hyperlink" Id="rId11" Target="https://morrison-lab.github.io/rme/chapters/probability.html#def-indpt" TargetMode="External" /><Relationship Type="http://schemas.openxmlformats.org/officeDocument/2006/relationships/hyperlink" Id="rId14" Target="https://quarto.org/docs/authoring/markdown-basics.html#equations" TargetMode="External" /><Relationship Type="http://schemas.openxmlformats.org/officeDocument/2006/relationships/hyperlink" Id="rId40" Target="linear-algebra.qmd#def-identity-matri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2026-09-29T06:52:16Z</dcterms:created>
  <dcterms:modified xsi:type="dcterms:W3CDTF">2026-09-29T06:52:16Z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