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Demo: Loading Macros via</w:t>
      </w:r>
      <w:r>
        <w:t xml:space="preserve"> </w:t>
      </w:r>
      <w:r>
        <w:rPr>
          <w:rStyle w:val="VerbatimChar"/>
        </w:rPr>
        <w:t xml:space="preserve">include-in-header</w:t>
      </w:r>
    </w:p>
    <w:p>
      <w:pPr>
        <w:pStyle w:val="FirstParagraph"/>
      </w:pPr>
      <w:r>
        <w:t xml:space="preserve">This page demonstrates the</w:t>
      </w:r>
      <w:r>
        <w:t xml:space="preserve"> </w:t>
      </w:r>
      <w:r>
        <w:rPr>
          <w:rStyle w:val="VerbatimChar"/>
        </w:rPr>
        <w:t xml:space="preserve">include-in-header</w:t>
      </w:r>
      <w:r>
        <w:t xml:space="preserve"> </w:t>
      </w:r>
      <w:r>
        <w:t xml:space="preserve">strategy for loading macros. The YAML front matter of this file includes: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include-in-header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macros-header.html</w:t>
      </w:r>
      <w:r>
        <w:rPr>
          <w:rStyle w:val="CommentTok"/>
        </w:rPr>
        <w:t xml:space="preserve">   # MathJax macro config script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include-in-header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macros.qmd</w:t>
      </w:r>
      <w:r>
        <w:rPr>
          <w:rStyle w:val="CommentTok"/>
        </w:rPr>
        <w:t xml:space="preserve">           # raw LaTeX goes directly into preamble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demo-include-in-header-slides.html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scrollable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center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include-in-header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macros-header.html</w:t>
      </w:r>
      <w:r>
        <w:rPr>
          <w:rStyle w:val="CommentTok"/>
        </w:rPr>
        <w:t xml:space="preserve">   # loader that reads macros.qmd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docx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BlockText"/>
      </w:pPr>
      <w:r>
        <w:rPr>
          <w:b/>
          <w:bCs/>
        </w:rPr>
        <w:t xml:space="preserve">Note (HTML/RevealJS):</w:t>
      </w:r>
      <w:r>
        <w:t xml:space="preserve"> </w:t>
      </w:r>
      <w:r>
        <w:rPr>
          <w:rStyle w:val="VerbatimChar"/>
        </w:rPr>
        <w:t xml:space="preserve">macros-header.html</w:t>
      </w:r>
      <w:r>
        <w:t xml:space="preserve"> </w:t>
      </w:r>
      <w:r>
        <w:t xml:space="preserve">is a small loader script (not a second macro-definition file). It reads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, converts macro definitions to a MathJax config object, and sets</w:t>
      </w:r>
      <w:r>
        <w:t xml:space="preserve"> </w:t>
      </w:r>
      <w:r>
        <w:rPr>
          <w:rStyle w:val="VerbatimChar"/>
        </w:rPr>
        <w:t xml:space="preserve">MathJax.tex.macros</w:t>
      </w:r>
      <w:r>
        <w:t xml:space="preserve"> </w:t>
      </w:r>
      <w:r>
        <w:t xml:space="preserve">before typesetting. For RevealJS, it also forces the built-in Reveal math plugin to use MathJax 3. This requires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 </w:t>
      </w:r>
      <w:r>
        <w:t xml:space="preserve">to be published as a static resource in the site output.</w:t>
      </w:r>
      <w:r>
        <w:t xml:space="preserve"> </w:t>
      </w:r>
      <w:hyperlink r:id="rId9">
        <w:r>
          <w:rPr>
            <w:rStyle w:val="Hyperlink"/>
          </w:rPr>
          <w:t xml:space="preserve">View the RevealJS slides output</w:t>
        </w:r>
      </w:hyperlink>
      <w:r>
        <w:t xml:space="preserve">.</w:t>
      </w:r>
    </w:p>
    <w:p>
      <w:pPr>
        <w:pStyle w:val="BlockText"/>
      </w:pPr>
      <w:r>
        <w:rPr>
          <w:b/>
          <w:bCs/>
        </w:rPr>
        <w:t xml:space="preserve">Note (PDF):</w:t>
      </w:r>
      <w:r>
        <w:t xml:space="preserve"> </w:t>
      </w:r>
      <w:r>
        <w:t xml:space="preserve">For PDF,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 </w:t>
      </w:r>
      <w:r>
        <w:t xml:space="preserve">can be included directly since its raw LaTeX goes into the document preamble.</w:t>
      </w:r>
    </w:p>
    <w:p>
      <w:pPr>
        <w:pStyle w:val="BlockText"/>
      </w:pPr>
      <w:r>
        <w:rPr>
          <w:b/>
          <w:bCs/>
        </w:rPr>
        <w:t xml:space="preserve">Note:</w:t>
      </w:r>
      <w:r>
        <w:t xml:space="preserve"> </w:t>
      </w:r>
      <w:r>
        <w:t xml:space="preserve">This demo uses</w:t>
      </w:r>
      <w:r>
        <w:t xml:space="preserve"> </w:t>
      </w:r>
      <w:r>
        <w:rPr>
          <w:rStyle w:val="VerbatimChar"/>
        </w:rPr>
        <w:t xml:space="preserve">macros-header.html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 </w:t>
      </w:r>
      <w:r>
        <w:t xml:space="preserve">because both files are at the root of this repository. When using this repository as a Git submodule (cloned into a</w:t>
      </w:r>
      <w:r>
        <w:t xml:space="preserve"> </w:t>
      </w:r>
      <w:r>
        <w:rPr>
          <w:rStyle w:val="VerbatimChar"/>
        </w:rPr>
        <w:t xml:space="preserve">macros/</w:t>
      </w:r>
      <w:r>
        <w:t xml:space="preserve"> </w:t>
      </w:r>
      <w:r>
        <w:t xml:space="preserve">subdirectory), replace with</w:t>
      </w:r>
      <w:r>
        <w:t xml:space="preserve"> </w:t>
      </w:r>
      <w:r>
        <w:rPr>
          <w:rStyle w:val="VerbatimChar"/>
        </w:rPr>
        <w:t xml:space="preserve">macros/macros-header.html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macros/macros.qmd</w:t>
      </w:r>
      <w:r>
        <w:t xml:space="preserve">.</w:t>
      </w:r>
    </w:p>
    <w:p>
      <w:pPr>
        <w:pStyle w:val="FirstParagraph"/>
      </w:pPr>
      <w:r>
        <w:t xml:space="preserve">The same configuration can be placed in a shared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to apply project-wide: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include-in-header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macros/macros-header.html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include-in-header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macros/macros.qmd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include-in-header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macros/macros-header.html</w:t>
      </w:r>
    </w:p>
    <w:p>
      <w:pPr>
        <w:pStyle w:val="FirstParagraph"/>
      </w:pPr>
      <w:r>
        <w:t xml:space="preserve">This inserts the macro definitions for each output format: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</w:t>
      </w:r>
      <w:r>
        <w:t xml:space="preserve">: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 </w:t>
      </w:r>
      <w:r>
        <w:t xml:space="preserve">goes into the LaTeX preamble via</w:t>
      </w:r>
      <w:r>
        <w:t xml:space="preserve"> </w:t>
      </w:r>
      <w:r>
        <w:rPr>
          <w:rStyle w:val="VerbatimChar"/>
        </w:rPr>
        <w:t xml:space="preserve">include-in-header</w:t>
      </w:r>
      <w:r>
        <w:t xml:space="preserve"> </w:t>
      </w:r>
      <w:r>
        <w:t xml:space="preserve">— macros work, including</w:t>
      </w:r>
      <w:r>
        <w:t xml:space="preserve"> </w:t>
      </w:r>
      <w:r>
        <w:rPr>
          <w:rStyle w:val="VerbatimChar"/>
        </w:rPr>
        <w:t xml:space="preserve">\providecommand</w:t>
      </w:r>
      <w:r>
        <w:t xml:space="preserve"> </w:t>
      </w:r>
      <w:r>
        <w:t xml:space="preserve">(note that LaTeX’s font-encoding initialization restores</w:t>
      </w:r>
      <w:r>
        <w:t xml:space="preserve"> </w:t>
      </w:r>
      <w:r>
        <w:rPr>
          <w:rStyle w:val="VerbatimChar"/>
        </w:rPr>
        <w:t xml:space="preserve">\v</w:t>
      </w:r>
      <w:r>
        <w:t xml:space="preserve"> </w:t>
      </w:r>
      <w:r>
        <w:t xml:space="preserve">as a text caron accent at</w:t>
      </w:r>
      <w:r>
        <w:t xml:space="preserve"> </w:t>
      </w:r>
      <w:r>
        <w:rPr>
          <w:rStyle w:val="VerbatimChar"/>
        </w:rPr>
        <w:t xml:space="preserve">\begin{document}</w:t>
      </w:r>
      <w:r>
        <w:t xml:space="preserve">, so</w:t>
      </w:r>
      <w:r>
        <w:t xml:space="preserve"> </w:t>
      </w:r>
      <w:r>
        <w:rPr>
          <w:rStyle w:val="VerbatimChar"/>
        </w:rPr>
        <w:t xml:space="preserve">\v{x}</w:t>
      </w:r>
      <w:r>
        <w:t xml:space="preserve"> </w:t>
      </w:r>
      <w:r>
        <w:t xml:space="preserve">produces a text accent error in math mode under</w:t>
      </w:r>
      <w:r>
        <w:t xml:space="preserve"> </w:t>
      </w:r>
      <w:r>
        <w:rPr>
          <w:rStyle w:val="VerbatimChar"/>
        </w:rPr>
        <w:t xml:space="preserve">include-in-header</w:t>
      </w:r>
      <w:r>
        <w:t xml:space="preserve"> </w:t>
      </w:r>
      <w:r>
        <w:t xml:space="preserve">unless re-asserted in the preamble; use</w:t>
      </w:r>
      <w:r>
        <w:t xml:space="preserve"> </w:t>
      </w:r>
      <w:r>
        <w:rPr>
          <w:rStyle w:val="VerbatimChar"/>
        </w:rPr>
        <w:t xml:space="preserve">\vec{x}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\vecf{x}</w:t>
      </w:r>
      <w:r>
        <w:t xml:space="preserve"> </w:t>
      </w:r>
      <w:r>
        <w:t xml:space="preserve">for robust cross-format vector notation).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</w:t>
      </w:r>
      <w:r>
        <w:t xml:space="preserve">:</w:t>
      </w:r>
      <w:r>
        <w:t xml:space="preserve"> </w:t>
      </w:r>
      <w:r>
        <w:rPr>
          <w:rStyle w:val="VerbatimChar"/>
        </w:rPr>
        <w:t xml:space="preserve">macros-header.html</w:t>
      </w:r>
      <w:r>
        <w:t xml:space="preserve"> </w:t>
      </w:r>
      <w:r>
        <w:t xml:space="preserve">is inserted via</w:t>
      </w:r>
      <w:r>
        <w:t xml:space="preserve"> </w:t>
      </w:r>
      <w:r>
        <w:rPr>
          <w:rStyle w:val="VerbatimChar"/>
        </w:rPr>
        <w:t xml:space="preserve">include-in-header</w:t>
      </w:r>
      <w:r>
        <w:t xml:space="preserve"> </w:t>
      </w:r>
      <w:r>
        <w:t xml:space="preserve">and loads macros from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MathJax.tex.macros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</w:t>
      </w:r>
      <w:r>
        <w:t xml:space="preserve">:</w:t>
      </w:r>
      <w:r>
        <w:t xml:space="preserve"> </w:t>
      </w:r>
      <w:r>
        <w:rPr>
          <w:rStyle w:val="VerbatimChar"/>
        </w:rPr>
        <w:t xml:space="preserve">macros-header.html</w:t>
      </w:r>
      <w:r>
        <w:t xml:space="preserve"> </w:t>
      </w:r>
      <w:r>
        <w:t xml:space="preserve">does the same loader step and switches the Reveal math plugin to MathJax 3, so slide math uses the same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 </w:t>
      </w:r>
      <w:r>
        <w:t xml:space="preserve">source.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</w:t>
      </w:r>
      <w:r>
        <w:t xml:space="preserve">: Word documents do not use a LaTeX preamble or MathJax header, so</w:t>
      </w:r>
      <w:r>
        <w:t xml:space="preserve"> </w:t>
      </w:r>
      <w:r>
        <w:rPr>
          <w:rStyle w:val="VerbatimChar"/>
        </w:rPr>
        <w:t xml:space="preserve">include-in-header</w:t>
      </w:r>
      <w:r>
        <w:t xml:space="preserve"> </w:t>
      </w:r>
      <w:r>
        <w:t xml:space="preserve">has no effect on math rendering for docx. The</w:t>
      </w:r>
      <w:r>
        <w:t xml:space="preserve"> </w:t>
      </w:r>
      <w:r>
        <w:rPr>
          <w:rStyle w:val="VerbatimChar"/>
        </w:rPr>
        <w:t xml:space="preserve">docx: default</w:t>
      </w:r>
      <w:r>
        <w:t xml:space="preserve"> </w:t>
      </w:r>
      <w:r>
        <w:t xml:space="preserve">entry above produces docx output without macro support.</w:t>
      </w:r>
    </w:p>
    <w:bookmarkStart w:id="10" w:name="example-math"/>
    <w:p>
      <w:pPr>
        <w:pStyle w:val="Heading2"/>
      </w:pPr>
      <w:r>
        <w:t xml:space="preserve">Example math</w:t>
      </w:r>
    </w:p>
    <w:p>
      <w:pPr>
        <w:pStyle w:val="FirstParagraph"/>
      </w:pPr>
      <w:r>
        <w:t xml:space="preserve">The table below uses macros defined with</w:t>
      </w:r>
      <w:r>
        <w:t xml:space="preserve"> </w:t>
      </w:r>
      <w:r>
        <w:rPr>
          <w:rStyle w:val="VerbatimChar"/>
        </w:rPr>
        <w:t xml:space="preserve">\def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, which work in all output formats that support MathJax or LaTeX: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Output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Greek: alpha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\a</w:t>
            </w:r>
          </w:p>
        </w:tc>
        <w:tc>
          <w:tcPr/>
          <w:p>
            <w:pPr>
              <w:pStyle w:val="Compact"/>
            </w:pPr>
            <m:oMath>
              <m:r>
                <m:t>α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Greek: beta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\b</w:t>
            </w:r>
          </w:p>
        </w:tc>
        <w:tc>
          <w:tcPr/>
          <w:p>
            <w:pPr>
              <w:pStyle w:val="Compact"/>
            </w:pPr>
            <m:oMath>
              <m:r>
                <m:t>β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Greek: gamma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\g</w:t>
            </w:r>
          </w:p>
        </w:tc>
        <w:tc>
          <w:tcPr/>
          <w:p>
            <w:pPr>
              <w:pStyle w:val="Compact"/>
            </w:pPr>
            <m:oMath>
              <m:r>
                <m:t>γ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Greek: lambda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\l</w:t>
            </w:r>
          </w:p>
        </w:tc>
        <w:tc>
          <w:tcPr/>
          <w:p>
            <w:pPr>
              <w:pStyle w:val="Compact"/>
            </w:pPr>
            <m:oMath>
              <m:r>
                <m:t>λ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Greek: sigma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\s</w:t>
            </w:r>
          </w:p>
        </w:tc>
        <w:tc>
          <w:tcPr/>
          <w:p>
            <w:pPr>
              <w:pStyle w:val="Compact"/>
            </w:pPr>
            <m:oMath>
              <m:r>
                <m:t>σ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Log-likelihood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\llik</w:t>
            </w:r>
          </w:p>
        </w:tc>
        <w:tc>
          <w:tcPr/>
          <w:p>
            <w:pPr>
              <w:pStyle w:val="Compact"/>
            </w:pPr>
            <m:oMath>
              <m:r>
                <m:t>ℓ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Independent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 \ind Y</w:t>
            </w:r>
          </w:p>
        </w:tc>
        <w:tc>
          <w:tcPr/>
          <w:p>
            <w:pPr>
              <w:pStyle w:val="Compact"/>
            </w:pPr>
            <m:oMath>
              <m:r>
                <m:t>X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IID distributed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X_i \siid \Normal(\m, \ss)</w:t>
            </w:r>
          </w:p>
        </w:tc>
        <w:tc>
          <w:tcPr/>
          <w:p>
            <w:pPr>
              <w:pStyle w:val="Compact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 </m:t>
              </m:r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iid</m:t>
                  </m:r>
                </m:sub>
              </m:sSub>
              <m:r>
                <m:t> 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Vector: mu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\vm</w:t>
            </w:r>
          </w:p>
        </w:tc>
        <w:tc>
          <w:tcPr/>
          <w:p>
            <w:pPr>
              <w:pStyle w:val="Compact"/>
            </w:pPr>
            <m:oMath>
              <m:acc>
                <m:accPr>
                  <m:chr m:val="̃"/>
                </m:accPr>
                <m:e>
                  <m:r>
                    <m:t>μ</m:t>
                  </m:r>
                </m:e>
              </m:acc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Hat beta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\hb</w:t>
            </w:r>
          </w:p>
        </w:tc>
        <w:tc>
          <w:tcPr/>
          <w:p>
            <w:pPr>
              <w:pStyle w:val="Compact"/>
            </w:pP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Sigma-algebra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\salg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cr m:val="script"/>
                  <m:sty m:val="p"/>
                </m:rPr>
                <m:t>S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Borel sigma-algebra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\borel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cr m:val="script"/>
                  <m:sty m:val="p"/>
                </m:rPr>
                <m:t>B</m:t>
              </m:r>
            </m:oMath>
            <w:r>
              <w:t xml:space="preserve">​</w:t>
            </w:r>
          </w:p>
        </w:tc>
      </w:tr>
    </w:tbl>
    <w:bookmarkEnd w:id="10"/>
    <w:bookmarkStart w:id="13" w:name="color-macros"/>
    <w:p>
      <w:pPr>
        <w:pStyle w:val="Heading2"/>
      </w:pPr>
      <w:r>
        <w:t xml:space="preserve">Color macros</w:t>
      </w:r>
    </w:p>
    <w:p>
      <w:pPr>
        <w:pStyle w:val="FirstParagraph"/>
      </w:pPr>
      <w:r>
        <w:rPr>
          <w:rStyle w:val="VerbatimChar"/>
        </w:rPr>
        <w:t xml:space="preserve">macros.qmd</w:t>
      </w:r>
      <w:r>
        <w:t xml:space="preserve"> </w:t>
      </w:r>
      <w:r>
        <w:t xml:space="preserve">defines a one-argument macro for each of the 19</w:t>
      </w:r>
      <w:r>
        <w:t xml:space="preserve"> </w:t>
      </w:r>
      <w:hyperlink r:id="rId11">
        <w:r>
          <w:rPr>
            <w:rStyle w:val="Hyperlink"/>
          </w:rPr>
          <w:t xml:space="preserve">LaTeX base colors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\red</w:t>
      </w:r>
      <w:r>
        <w:t xml:space="preserve">,</w:t>
      </w:r>
      <w:r>
        <w:t xml:space="preserve"> </w:t>
      </w:r>
      <w:r>
        <w:rPr>
          <w:rStyle w:val="VerbatimChar"/>
        </w:rPr>
        <w:t xml:space="preserve">\blue</w:t>
      </w:r>
      <w:r>
        <w:t xml:space="preserve">,</w:t>
      </w:r>
      <w:r>
        <w:t xml:space="preserve"> </w:t>
      </w:r>
      <w:r>
        <w:rPr>
          <w:rStyle w:val="VerbatimChar"/>
        </w:rPr>
        <w:t xml:space="preserve">\green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\orange</w:t>
      </w:r>
      <w:r>
        <w:t xml:space="preserve">, …), using the</w:t>
      </w:r>
      <w:r>
        <w:t xml:space="preserve"> </w:t>
      </w:r>
      <w:r>
        <w:rPr>
          <w:rStyle w:val="VerbatimChar"/>
        </w:rPr>
        <w:t xml:space="preserve">\color</w:t>
      </w:r>
      <w:r>
        <w:t xml:space="preserve"> </w:t>
      </w:r>
      <w:r>
        <w:t xml:space="preserve">switch form (</w:t>
      </w:r>
      <w:r>
        <w:rPr>
          <w:rStyle w:val="VerbatimChar"/>
        </w:rPr>
        <w:t xml:space="preserve">{\color{red}{#1}}</w:t>
      </w:r>
      <w:r>
        <w:t xml:space="preserve">), which is supported by MathJax (HTML/RevealJS) and lualatex (PDF):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Output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\red{x}</w:t>
            </w:r>
          </w:p>
        </w:tc>
        <w:tc>
          <w:tcPr/>
          <w:p>
            <w:pPr>
              <w:pStyle w:val="Compact"/>
            </w:pPr>
            <m:oMath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Blue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\blue{y}</w:t>
            </w:r>
          </w:p>
        </w:tc>
        <w:tc>
          <w:tcPr/>
          <w:p>
            <w:pPr>
              <w:pStyle w:val="Compact"/>
            </w:pPr>
            <m:oMath>
              <m:r>
                <m:t>y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\green{z}</w:t>
            </w:r>
          </w:p>
        </w:tc>
        <w:tc>
          <w:tcPr/>
          <w:p>
            <w:pPr>
              <w:pStyle w:val="Compact"/>
            </w:pPr>
            <m:oMath>
              <m:r>
                <m:t>z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Orange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\orange{\mu}</w:t>
            </w:r>
          </w:p>
        </w:tc>
        <w:tc>
          <w:tcPr/>
          <w:p>
            <w:pPr>
              <w:pStyle w:val="Compact"/>
            </w:pPr>
            <m:oMath>
              <m:r>
                <m:t>μ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Combined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\red{x} + \blue{y} = \green{z}</w:t>
            </w:r>
          </w:p>
        </w:tc>
        <w:tc>
          <w:tcPr/>
          <w:p>
            <w:pPr>
              <w:pStyle w:val="Compact"/>
            </w:pPr>
            <m:oMath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Nested macros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X_i \sim_{\red{\ind}} \blue{\Normal}(\orange{\mu_i}, \green{\ss})</w:t>
            </w:r>
          </w:p>
        </w:tc>
        <w:tc>
          <w:tcPr/>
          <w:p>
            <w:pPr>
              <w:pStyle w:val="Compact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⟂</m:t>
                  </m:r>
                  <m:r>
                    <m:t>​</m:t>
                  </m:r>
                  <m:r>
                    <m:t>​</m:t>
                  </m:r>
                  <m:r>
                    <m:t>​</m:t>
                  </m:r>
                  <m:r>
                    <m:rPr>
                      <m:sty m:val="p"/>
                    </m:rPr>
                    <m:t>⟂</m:t>
                  </m:r>
                </m:sub>
              </m:sSub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</w:tbl>
    <w:p>
      <w:pPr>
        <w:pStyle w:val="BlockText"/>
      </w:pPr>
      <w:r>
        <w:rPr>
          <w:b/>
          <w:bCs/>
        </w:rPr>
        <w:t xml:space="preserve">Note (docx):</w:t>
      </w:r>
      <w:r>
        <w:t xml:space="preserve"> </w:t>
      </w:r>
      <w:r>
        <w:t xml:space="preserve">as described above, the</w:t>
      </w:r>
      <w:r>
        <w:t xml:space="preserve"> </w:t>
      </w:r>
      <w:r>
        <w:rPr>
          <w:rStyle w:val="VerbatimChar"/>
        </w:rPr>
        <w:t xml:space="preserve">include-in-header</w:t>
      </w:r>
      <w:r>
        <w:t xml:space="preserve"> </w:t>
      </w:r>
      <w:r>
        <w:t xml:space="preserve">strategy does not load macros for docx output, so the color macros (like all other macros) are unavailable there. For docx, use the</w:t>
      </w:r>
      <w:r>
        <w:t xml:space="preserve"> </w:t>
      </w:r>
      <w:hyperlink r:id="rId12">
        <w:r>
          <w:rPr>
            <w:rStyle w:val="Hyperlink"/>
          </w:rPr>
          <w:t xml:space="preserve">include shortcode strategy</w:t>
        </w:r>
      </w:hyperlink>
      <w:r>
        <w:t xml:space="preserve"> </w:t>
      </w:r>
      <w:r>
        <w:t xml:space="preserve">instead.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demo-include-in-header-slides.html" TargetMode="External" /><Relationship Type="http://schemas.openxmlformats.org/officeDocument/2006/relationships/hyperlink" Id="rId12" Target="demo-shortcode.qmd" TargetMode="External" /><Relationship Type="http://schemas.openxmlformats.org/officeDocument/2006/relationships/hyperlink" Id="rId11" Target="https://en.wikibooks.org/wiki/LaTeX/Colors#Predefined_colo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demo-include-in-header-slides.html" TargetMode="External" /><Relationship Type="http://schemas.openxmlformats.org/officeDocument/2006/relationships/hyperlink" Id="rId12" Target="demo-shortcode.qmd" TargetMode="External" /><Relationship Type="http://schemas.openxmlformats.org/officeDocument/2006/relationships/hyperlink" Id="rId11" Target="https://en.wikibooks.org/wiki/LaTeX/Colors#Predefined_colo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Demo: Loading Macros via include-in-header</dc:title>
  <dc:creator/>
  <cp:keywords/>
  <dcterms:created xsi:type="dcterms:W3CDTF">2026-10-07T08:16:57Z</dcterms:created>
  <dcterms:modified xsi:type="dcterms:W3CDTF">2026-10-07T08:16:57Z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