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6.png" ContentType="image/png"/>
  <Override PartName="/word/media/rId270.png" ContentType="image/png"/>
  <Override PartName="/word/media/rId275.png" ContentType="image/png"/>
  <Override PartName="/word/media/rId23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26.png" ContentType="image/png"/>
  <Override PartName="/word/media/rId80.png" ContentType="image/png"/>
  <Override PartName="/word/media/rId83.png" ContentType="image/png"/>
  <Override PartName="/word/media/rId86.png" ContentType="image/png"/>
  <Override PartName="/word/media/rId89.png" ContentType="image/png"/>
  <Override PartName="/word/media/rId92.png" ContentType="image/png"/>
  <Override PartName="/word/media/rId95.png" ContentType="image/png"/>
  <Override PartName="/word/media/rId98.png" ContentType="image/png"/>
  <Override PartName="/word/media/rId101.png" ContentType="image/png"/>
  <Override PartName="/word/media/rId104.png" ContentType="image/png"/>
  <Override PartName="/word/media/rId107.png" ContentType="image/png"/>
  <Override PartName="/word/media/rId29.png" ContentType="image/png"/>
  <Override PartName="/word/media/rId110.png" ContentType="image/png"/>
  <Override PartName="/word/media/rId113.png" ContentType="image/png"/>
  <Override PartName="/word/media/rId116.png" ContentType="image/png"/>
  <Override PartName="/word/media/rId119.png" ContentType="image/png"/>
  <Override PartName="/word/media/rId122.png" ContentType="image/png"/>
  <Override PartName="/word/media/rId125.png" ContentType="image/png"/>
  <Override PartName="/word/media/rId128.png" ContentType="image/png"/>
  <Override PartName="/word/media/rId131.png" ContentType="image/png"/>
  <Override PartName="/word/media/rId134.png" ContentType="image/png"/>
  <Override PartName="/word/media/rId137.png" ContentType="image/png"/>
  <Override PartName="/word/media/rId32.png" ContentType="image/png"/>
  <Override PartName="/word/media/rId140.png" ContentType="image/png"/>
  <Override PartName="/word/media/rId143.png" ContentType="image/png"/>
  <Override PartName="/word/media/rId146.png" ContentType="image/png"/>
  <Override PartName="/word/media/rId149.png" ContentType="image/png"/>
  <Override PartName="/word/media/rId152.png" ContentType="image/png"/>
  <Override PartName="/word/media/rId155.png" ContentType="image/png"/>
  <Override PartName="/word/media/rId158.png" ContentType="image/png"/>
  <Override PartName="/word/media/rId161.png" ContentType="image/png"/>
  <Override PartName="/word/media/rId164.png" ContentType="image/png"/>
  <Override PartName="/word/media/rId167.png" ContentType="image/png"/>
  <Override PartName="/word/media/rId35.png" ContentType="image/png"/>
  <Override PartName="/word/media/rId170.png" ContentType="image/png"/>
  <Override PartName="/word/media/rId173.png" ContentType="image/png"/>
  <Override PartName="/word/media/rId176.png" ContentType="image/png"/>
  <Override PartName="/word/media/rId179.png" ContentType="image/png"/>
  <Override PartName="/word/media/rId182.png" ContentType="image/png"/>
  <Override PartName="/word/media/rId185.png" ContentType="image/png"/>
  <Override PartName="/word/media/rId188.png" ContentType="image/png"/>
  <Override PartName="/word/media/rId191.png" ContentType="image/png"/>
  <Override PartName="/word/media/rId194.png" ContentType="image/png"/>
  <Override PartName="/word/media/rId197.png" ContentType="image/png"/>
  <Override PartName="/word/media/rId38.png" ContentType="image/png"/>
  <Override PartName="/word/media/rId200.png" ContentType="image/png"/>
  <Override PartName="/word/media/rId203.png" ContentType="image/png"/>
  <Override PartName="/word/media/rId206.png" ContentType="image/png"/>
  <Override PartName="/word/media/rId209.png" ContentType="image/png"/>
  <Override PartName="/word/media/rId212.png" ContentType="image/png"/>
  <Override PartName="/word/media/rId215.png" ContentType="image/png"/>
  <Override PartName="/word/media/rId218.png" ContentType="image/png"/>
  <Override PartName="/word/media/rId221.png" ContentType="image/png"/>
  <Override PartName="/word/media/rId224.png" ContentType="image/png"/>
  <Override PartName="/word/media/rId227.png" ContentType="image/png"/>
  <Override PartName="/word/media/rId41.png" ContentType="image/png"/>
  <Override PartName="/word/media/rId230.png" ContentType="image/png"/>
  <Override PartName="/word/media/rId233.png" ContentType="image/png"/>
  <Override PartName="/word/media/rId236.png" ContentType="image/png"/>
  <Override PartName="/word/media/rId44.png" ContentType="image/png"/>
  <Override PartName="/word/media/rId47.png" ContentType="image/png"/>
  <Override PartName="/word/media/rId247.png" ContentType="image/png"/>
  <Override PartName="/word/media/rId26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8: Group comparisons and hierarchical modeling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2016-11-17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A common task in data analysis is to compare summary statistics for two or more</w:t>
      </w:r>
      <w:r>
        <w:t xml:space="preserve"> </w:t>
      </w:r>
      <w:r>
        <w:t xml:space="preserve">groups. In this chapter we cover the Bayesian approach to doing this.</w:t>
      </w:r>
    </w:p>
    <w:bookmarkStart w:id="240" w:name="comparing-two-groups"/>
    <w:p>
      <w:pPr>
        <w:pStyle w:val="Heading1"/>
      </w:pPr>
      <w:r>
        <w:t xml:space="preserve">1. Comparing two groups</w:t>
      </w:r>
    </w:p>
    <w:p>
      <w:pPr>
        <w:pStyle w:val="FirstParagraph"/>
      </w:pPr>
      <w:r>
        <w:t xml:space="preserve">A standard method in (frequentist) introductory statistics for comparing the</w:t>
      </w:r>
      <w:r>
        <w:t xml:space="preserve"> </w:t>
      </w:r>
      <w:r>
        <w:t xml:space="preserve">means of two populations is to compute the</w:t>
      </w:r>
      <w:r>
        <w:t xml:space="preserve"> </w:t>
      </w:r>
      <m:oMath>
        <m:r>
          <m:t>t</m:t>
        </m:r>
      </m:oMath>
      <w:r>
        <w:t xml:space="preserve">-statistic of the observed mean</w:t>
      </w:r>
      <w:r>
        <w:t xml:space="preserve"> </w:t>
      </w:r>
      <w:r>
        <w:t xml:space="preserve">difference and obtain the two-sided</w:t>
      </w:r>
      <w:r>
        <w:t xml:space="preserve"> </w:t>
      </w:r>
      <m:oMath>
        <m:r>
          <m:t>p</m:t>
        </m:r>
      </m:oMath>
      <w:r>
        <w:t xml:space="preserve">-value. Then, if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0.05</m:t>
        </m:r>
      </m:oMath>
      <w:r>
        <w:t xml:space="preserve"> </w:t>
      </w:r>
      <w:r>
        <w:t xml:space="preserve">(or any other</w:t>
      </w:r>
      <w:r>
        <w:t xml:space="preserve"> </w:t>
      </w:r>
      <w:r>
        <w:t xml:space="preserve">significance level), we reject the null hypothesis that the two groups have the</w:t>
      </w:r>
      <w:r>
        <w:t xml:space="preserve"> </w:t>
      </w:r>
      <w:r>
        <w:t xml:space="preserve">same mean, and use the estimates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(i.e. the ML estimators for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independently). Otherwise, we accept the null hypothesis that the two</w:t>
      </w:r>
      <w:r>
        <w:t xml:space="preserve"> </w:t>
      </w:r>
      <w:r>
        <w:t xml:space="preserve">groups have the same mean and 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r>
        <w:t xml:space="preserve">pooled mean of the two groups.</w:t>
      </w:r>
    </w:p>
    <w:p>
      <w:pPr>
        <w:pStyle w:val="BodyText"/>
      </w:pPr>
      <w:r>
        <w:t xml:space="preserve">There are many situations in which this paradigm doesn’t make too much sense.</w:t>
      </w:r>
      <w:r>
        <w:t xml:space="preserve"> </w:t>
      </w:r>
      <w:r>
        <w:t xml:space="preserve">Consider borderline cases in which our</w:t>
      </w:r>
      <w:r>
        <w:t xml:space="preserve"> </w:t>
      </w:r>
      <m:oMath>
        <m:r>
          <m:t>p</m:t>
        </m:r>
      </m:oMath>
      <w:r>
        <w:t xml:space="preserve">-value is close to 0.05. It seems like</w:t>
      </w:r>
      <w:r>
        <w:t xml:space="preserve"> </w:t>
      </w:r>
      <w:r>
        <w:t xml:space="preserve">a technicality to treat the means as completely different if e.g. </w:t>
      </w:r>
      <m:oMath>
        <m:r>
          <m:t>p</m:t>
        </m:r>
        <m:r>
          <m:rPr>
            <m:sty m:val="p"/>
          </m:rPr>
          <m:t>=</m:t>
        </m:r>
        <m:r>
          <m:t>0.051</m:t>
        </m:r>
      </m:oMath>
      <w:r>
        <w:t xml:space="preserve">,</w:t>
      </w:r>
      <w:r>
        <w:t xml:space="preserve"> </w:t>
      </w:r>
      <w:r>
        <w:t xml:space="preserve">and completely the same if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0.049</m:t>
        </m:r>
      </m:oMath>
      <w:r>
        <w:t xml:space="preserve"> </w:t>
      </w:r>
      <w:r>
        <w:t xml:space="preserve">- a difference that could hypothetically</w:t>
      </w:r>
      <w:r>
        <w:t xml:space="preserve"> </w:t>
      </w:r>
      <w:r>
        <w:t xml:space="preserve">be observed by simply sampling one more data point.</w:t>
      </w:r>
    </w:p>
    <w:p>
      <w:pPr>
        <w:pStyle w:val="BodyText"/>
      </w:pPr>
      <w:r>
        <w:t xml:space="preserve">The Bayesian approach is to treat the two populations as being sampled from a</w:t>
      </w:r>
      <w:r>
        <w:t xml:space="preserve"> </w:t>
      </w:r>
      <w:r>
        <w:t xml:space="preserve">common mean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plus some difference</w:t>
      </w:r>
      <w:r>
        <w:t xml:space="preserve"> </w:t>
      </w:r>
      <m:oMath>
        <m:r>
          <m:t>δ</m:t>
        </m:r>
      </m:oMath>
      <w:r>
        <w:t xml:space="preserve">, where we estimate both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</m:oMath>
      <w:r>
        <w:t xml:space="preserve">. Then the observed difference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can vary</w:t>
      </w:r>
      <w:r>
        <w:t xml:space="preserve"> </w:t>
      </w:r>
      <w:r>
        <w:t xml:space="preserve">continuously. Specifically, our sampling model for a value from either group is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=</m:t>
        </m:r>
        <m:r>
          <m:t>μ</m:t>
        </m:r>
        <m:r>
          <m:rPr>
            <m:sty m:val="p"/>
          </m:rPr>
          <m:t>+</m:t>
        </m:r>
        <m:r>
          <m:t>δ</m:t>
        </m:r>
        <m:r>
          <m:rPr>
            <m:sty m:val="p"/>
          </m:rPr>
          <m:t>+</m:t>
        </m:r>
        <m:sSub>
          <m:e>
            <m:r>
              <m:t>ϵ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1</m:t>
            </m:r>
          </m:sub>
        </m:sSub>
      </m:oMath>
    </w:p>
    <w:p>
      <w:pPr>
        <w:pStyle w:val="Compact"/>
        <w:numPr>
          <w:ilvl w:val="0"/>
          <w:numId w:val="1001"/>
        </w:numPr>
      </w:pP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2</m:t>
            </m:r>
          </m:sub>
        </m:sSub>
        <m:r>
          <m:rPr>
            <m:sty m:val="p"/>
          </m:rPr>
          <m:t>=</m:t>
        </m:r>
        <m:r>
          <m:t>μ</m:t>
        </m:r>
        <m:r>
          <m:rPr>
            <m:sty m:val="p"/>
          </m:rPr>
          <m:t>+</m:t>
        </m:r>
        <m:r>
          <m:t>δ</m:t>
        </m:r>
        <m:r>
          <m:rPr>
            <m:sty m:val="p"/>
          </m:rPr>
          <m:t>+</m:t>
        </m:r>
        <m:sSub>
          <m:e>
            <m:r>
              <m:t>ϵ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2</m:t>
            </m:r>
          </m:sub>
        </m:sSub>
      </m:oMath>
    </w:p>
    <w:p>
      <w:pPr>
        <w:pStyle w:val="FirstParagraph"/>
      </w:pPr>
      <w:r>
        <w:t xml:space="preserve">where we assume values from both groups have a common variance</w:t>
      </w:r>
      <w:r>
        <w:t xml:space="preserve"> </w:t>
      </w:r>
      <m:oMath>
        <m:sSub>
          <m:e>
            <m:r>
              <m:t>ϵ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i.i.d.</m:t>
        </m:r>
        <m:r>
          <m:t> 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bookmarkStart w:id="22" w:name="prior-and-posterior-distributions"/>
    <w:p>
      <w:pPr>
        <w:pStyle w:val="Heading2"/>
      </w:pPr>
      <w:r>
        <w:t xml:space="preserve">1.1 Prior and posterior distributions</w:t>
      </w:r>
    </w:p>
    <w:bookmarkStart w:id="20" w:name="prior"/>
    <w:p>
      <w:pPr>
        <w:pStyle w:val="Heading3"/>
      </w:pPr>
      <w:r>
        <w:t xml:space="preserve">1.1.1 Prior</w:t>
      </w:r>
    </w:p>
    <w:p>
      <w:pPr>
        <w:pStyle w:val="FirstParagraph"/>
      </w:pPr>
      <w:r>
        <w:t xml:space="preserve">The joint prior for all three parameters of our model</w:t>
      </w:r>
      <w:r>
        <w:t xml:space="preserve"> </w:t>
      </w:r>
      <m:oMath>
        <m:r>
          <m:t>μ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t xml:space="preserve">unsurprising. We treat the parameters as independent, so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r>
              <m:t>δ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δ</m:t>
            </m:r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where</w:t>
      </w:r>
    </w:p>
    <w:p>
      <w:pPr>
        <w:pStyle w:val="Compact"/>
        <w:numPr>
          <w:ilvl w:val="0"/>
          <w:numId w:val="1002"/>
        </w:numPr>
      </w:pPr>
      <m:oMath>
        <m:r>
          <m:t>μ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γ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d>
      </m:oMath>
    </w:p>
    <w:p>
      <w:pPr>
        <w:pStyle w:val="Compact"/>
        <w:numPr>
          <w:ilvl w:val="0"/>
          <w:numId w:val="1002"/>
        </w:numPr>
      </w:pPr>
      <m:oMath>
        <m:r>
          <m:t>δ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δ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d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inverse-gamma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</m:oMath>
    </w:p>
    <w:p>
      <w:pPr>
        <w:pStyle w:val="FirstParagraph"/>
      </w:pPr>
      <w:r>
        <w:t xml:space="preserve">Notice that we specify prior distributions for the common mean and variance, but</w:t>
      </w:r>
      <w:r>
        <w:t xml:space="preserve"> </w:t>
      </w:r>
      <w:r>
        <w:t xml:space="preserve">we also express an estimate (and certainty of the estimate) for the difference</w:t>
      </w:r>
      <w:r>
        <w:t xml:space="preserve"> </w:t>
      </w:r>
      <w:r>
        <w:t xml:space="preserve">between the group means</w:t>
      </w:r>
      <w:r>
        <w:t xml:space="preserve"> </w:t>
      </w:r>
      <m:oMath>
        <m:r>
          <m:t>δ</m:t>
        </m:r>
      </m:oMath>
      <w:r>
        <w:t xml:space="preserve">.</w:t>
      </w:r>
    </w:p>
    <w:bookmarkEnd w:id="20"/>
    <w:bookmarkStart w:id="21" w:name="posterior"/>
    <w:p>
      <w:pPr>
        <w:pStyle w:val="Heading3"/>
      </w:pPr>
      <w:r>
        <w:t xml:space="preserve">1.1.2 Posterior</w:t>
      </w:r>
    </w:p>
    <w:p>
      <w:pPr>
        <w:pStyle w:val="FirstParagraph"/>
      </w:pPr>
      <w:r>
        <w:t xml:space="preserve">Then the full conditional distributions of the parameters are</w:t>
      </w:r>
    </w:p>
    <w:p>
      <w:pPr>
        <w:pStyle w:val="Compact"/>
        <w:numPr>
          <w:ilvl w:val="0"/>
          <w:numId w:val="1003"/>
        </w:numPr>
      </w:pPr>
      <m:oMath>
        <m:r>
          <m:t>μ</m:t>
        </m:r>
        <m:r>
          <m:rPr>
            <m:sty m:val="p"/>
          </m:rPr>
          <m:t>∣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γ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d>
      </m:oMath>
    </w:p>
    <w:p>
      <w:pPr>
        <w:pStyle w:val="Compact"/>
        <w:numPr>
          <w:ilvl w:val="1"/>
          <w:numId w:val="1004"/>
        </w:numPr>
      </w:pPr>
      <m:oMath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Sup>
          <m:e>
            <m:r>
              <m:t>γ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×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sSubSup>
              <m:e>
                <m:r>
                  <m:t>γ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i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sSub>
                  <m:e>
                    <m:r>
                      <m:t>n</m:t>
                    </m:r>
                  </m:e>
                  <m:sub>
                    <m:r>
                      <m:t>1</m:t>
                    </m:r>
                  </m:sub>
                </m:sSub>
              </m: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δ</m:t>
                    </m:r>
                  </m:e>
                </m:d>
              </m:e>
            </m:nary>
            <m:r>
              <m:rPr>
                <m:sty m:val="p"/>
              </m:rPr>
              <m:t>/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i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sSub>
                  <m:e>
                    <m:r>
                      <m:t>n</m:t>
                    </m:r>
                  </m:e>
                  <m:sub>
                    <m:r>
                      <m:t>2</m:t>
                    </m:r>
                  </m:sub>
                </m:sSub>
              </m: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δ</m:t>
                    </m:r>
                  </m:e>
                </m:d>
              </m:e>
            </m:nary>
            <m:r>
              <m:rPr>
                <m:sty m:val="p"/>
              </m:rPr>
              <m:t>/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Compact"/>
        <w:numPr>
          <w:ilvl w:val="1"/>
          <w:numId w:val="1004"/>
        </w:numPr>
      </w:pPr>
      <m:oMath>
        <m:sSubSup>
          <m:e>
            <m:r>
              <m:t>γ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["/>
                <m:sepChr m:val=""/>
                <m:endChr m:val="]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/</m:t>
                </m:r>
                <m:sSubSup>
                  <m:e>
                    <m:r>
                      <m:t>γ</m:t>
                    </m:r>
                  </m:e>
                  <m:sub>
                    <m:r>
                      <m:t>0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+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/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Compact"/>
        <w:numPr>
          <w:ilvl w:val="0"/>
          <w:numId w:val="1003"/>
        </w:numPr>
      </w:pPr>
      <m:oMath>
        <m:r>
          <m:t>δ</m:t>
        </m:r>
        <m:r>
          <m:rPr>
            <m:sty m:val="p"/>
          </m:rPr>
          <m:t>∣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δ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d>
      </m:oMath>
    </w:p>
    <w:p>
      <w:pPr>
        <w:pStyle w:val="Compact"/>
        <w:numPr>
          <w:ilvl w:val="1"/>
          <w:numId w:val="1005"/>
        </w:numPr>
      </w:pPr>
      <m:oMath>
        <m:sSub>
          <m:e>
            <m:r>
              <m:t>δ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×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δ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/</m:t>
            </m:r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i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sSub>
                  <m:e>
                    <m:r>
                      <m:t>n</m:t>
                    </m:r>
                  </m:e>
                  <m:sub>
                    <m:r>
                      <m:t>1</m:t>
                    </m:r>
                  </m:sub>
                </m:sSub>
              </m: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e>
                </m:d>
              </m:e>
            </m:nary>
            <m:r>
              <m:rPr>
                <m:sty m:val="p"/>
              </m:rPr>
              <m:t>/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i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sSub>
                  <m:e>
                    <m:r>
                      <m:t>n</m:t>
                    </m:r>
                  </m:e>
                  <m:sub>
                    <m:r>
                      <m:t>2</m:t>
                    </m:r>
                  </m:sub>
                </m:sSub>
              </m: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e>
                </m:d>
              </m:e>
            </m:nary>
            <m:r>
              <m:rPr>
                <m:sty m:val="p"/>
              </m:rPr>
              <m:t>/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Compact"/>
        <w:numPr>
          <w:ilvl w:val="1"/>
          <w:numId w:val="1005"/>
        </w:numPr>
      </w:pPr>
      <m:oMath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["/>
                <m:sepChr m:val=""/>
                <m:endChr m:val="]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/</m:t>
                </m:r>
                <m:sSubSup>
                  <m:e>
                    <m:r>
                      <m:t>τ</m:t>
                    </m:r>
                  </m:e>
                  <m:sub>
                    <m:r>
                      <m:t>0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+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/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Compact"/>
        <w:numPr>
          <w:ilvl w:val="0"/>
          <w:numId w:val="1003"/>
        </w:numPr>
      </w:pP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∣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μ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∼</m:t>
        </m:r>
        <m:r>
          <m:rPr>
            <m:nor/>
            <m:sty m:val="p"/>
          </m:rPr>
          <m:t>inverse-gamma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</m:e>
        </m:d>
      </m:oMath>
    </w:p>
    <w:p>
      <w:pPr>
        <w:pStyle w:val="Compact"/>
        <w:numPr>
          <w:ilvl w:val="1"/>
          <w:numId w:val="1006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n</m:t>
            </m:r>
          </m:e>
          <m:sub>
            <m:r>
              <m:t>2</m:t>
            </m:r>
          </m:sub>
        </m:sSub>
      </m:oMath>
    </w:p>
    <w:p>
      <w:pPr>
        <w:pStyle w:val="Compact"/>
        <w:numPr>
          <w:ilvl w:val="1"/>
          <w:numId w:val="1006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sSub>
              <m:e>
                <m:r>
                  <m:t>n</m:t>
                </m:r>
              </m:e>
              <m:sub>
                <m:r>
                  <m:t>1</m:t>
                </m:r>
              </m:sub>
            </m:sSub>
          </m:sup>
          <m:e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μ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δ</m:t>
                        </m:r>
                      </m:e>
                    </m:d>
                  </m:e>
                </m:d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sSub>
              <m:e>
                <m:r>
                  <m:t>n</m:t>
                </m:r>
              </m:e>
              <m:sub>
                <m:r>
                  <m:t>2</m:t>
                </m:r>
              </m:sub>
            </m:sSub>
          </m:sup>
          <m:e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μ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δ</m:t>
                        </m:r>
                      </m:e>
                    </m:d>
                  </m:e>
                </m:d>
              </m:e>
              <m:sup>
                <m:r>
                  <m:t>2</m:t>
                </m:r>
              </m:sup>
            </m:sSup>
          </m:e>
        </m:nary>
      </m:oMath>
    </w:p>
    <w:bookmarkEnd w:id="21"/>
    <w:bookmarkEnd w:id="22"/>
    <w:bookmarkStart w:id="239" w:name="analysis-of-the-math-score-data"/>
    <w:p>
      <w:pPr>
        <w:pStyle w:val="Heading2"/>
      </w:pPr>
      <w:r>
        <w:t xml:space="preserve">1.2 Analysis of the math score data</w:t>
      </w:r>
    </w:p>
    <w:p>
      <w:pPr>
        <w:pStyle w:val="SourceCode"/>
      </w:pP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'Replication/chapter8.R'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8_files/figure-docx/unnamed-chunk-2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8_files/figure-docx/unnamed-chunk-2-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8_files/figure-docx/unnamed-chunk-2-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8_files/figure-docx/unnamed-chunk-2-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8_files/figure-docx/unnamed-chunk-2-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8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8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8_files/figure-docx/unnamed-chunk-2-8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8_files/figure-docx/unnamed-chunk-2-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8_files/figure-docx/unnamed-chunk-2-10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8_files/figure-docx/unnamed-chunk-2-1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8_files/figure-docx/unnamed-chunk-2-1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8_files/figure-docx/unnamed-chunk-2-13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8_files/figure-docx/unnamed-chunk-2-14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8_files/figure-docx/unnamed-chunk-2-15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8_files/figure-docx/unnamed-chunk-2-16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8_files/figure-docx/unnamed-chunk-2-17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8_files/figure-docx/unnamed-chunk-2-18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8_files/figure-docx/unnamed-chunk-2-19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8_files/figure-docx/unnamed-chunk-2-20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8_files/figure-docx/unnamed-chunk-2-2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8_files/figure-docx/unnamed-chunk-2-22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8_files/figure-docx/unnamed-chunk-2-23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8_files/figure-docx/unnamed-chunk-2-24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8_files/figure-docx/unnamed-chunk-2-25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8_files/figure-docx/unnamed-chunk-2-26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8_files/figure-docx/unnamed-chunk-2-27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8_files/figure-docx/unnamed-chunk-2-28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08" name="Picture"/>
            <a:graphic>
              <a:graphicData uri="http://schemas.openxmlformats.org/drawingml/2006/picture">
                <pic:pic>
                  <pic:nvPicPr>
                    <pic:cNvPr descr="8_files/figure-docx/unnamed-chunk-2-29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11" name="Picture"/>
            <a:graphic>
              <a:graphicData uri="http://schemas.openxmlformats.org/drawingml/2006/picture">
                <pic:pic>
                  <pic:nvPicPr>
                    <pic:cNvPr descr="8_files/figure-docx/unnamed-chunk-2-30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8_files/figure-docx/unnamed-chunk-2-31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8_files/figure-docx/unnamed-chunk-2-32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8_files/figure-docx/unnamed-chunk-2-33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23" name="Picture"/>
            <a:graphic>
              <a:graphicData uri="http://schemas.openxmlformats.org/drawingml/2006/picture">
                <pic:pic>
                  <pic:nvPicPr>
                    <pic:cNvPr descr="8_files/figure-docx/unnamed-chunk-2-34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26" name="Picture"/>
            <a:graphic>
              <a:graphicData uri="http://schemas.openxmlformats.org/drawingml/2006/picture">
                <pic:pic>
                  <pic:nvPicPr>
                    <pic:cNvPr descr="8_files/figure-docx/unnamed-chunk-2-35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8_files/figure-docx/unnamed-chunk-2-36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8_files/figure-docx/unnamed-chunk-2-37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35" name="Picture"/>
            <a:graphic>
              <a:graphicData uri="http://schemas.openxmlformats.org/drawingml/2006/picture">
                <pic:pic>
                  <pic:nvPicPr>
                    <pic:cNvPr descr="8_files/figure-docx/unnamed-chunk-2-38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38" name="Picture"/>
            <a:graphic>
              <a:graphicData uri="http://schemas.openxmlformats.org/drawingml/2006/picture">
                <pic:pic>
                  <pic:nvPicPr>
                    <pic:cNvPr descr="8_files/figure-docx/unnamed-chunk-2-39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41" name="Picture"/>
            <a:graphic>
              <a:graphicData uri="http://schemas.openxmlformats.org/drawingml/2006/picture">
                <pic:pic>
                  <pic:nvPicPr>
                    <pic:cNvPr descr="8_files/figure-docx/unnamed-chunk-2-40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44" name="Picture"/>
            <a:graphic>
              <a:graphicData uri="http://schemas.openxmlformats.org/drawingml/2006/picture">
                <pic:pic>
                  <pic:nvPicPr>
                    <pic:cNvPr descr="8_files/figure-docx/unnamed-chunk-2-41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47" name="Picture"/>
            <a:graphic>
              <a:graphicData uri="http://schemas.openxmlformats.org/drawingml/2006/picture">
                <pic:pic>
                  <pic:nvPicPr>
                    <pic:cNvPr descr="8_files/figure-docx/unnamed-chunk-2-42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50" name="Picture"/>
            <a:graphic>
              <a:graphicData uri="http://schemas.openxmlformats.org/drawingml/2006/picture">
                <pic:pic>
                  <pic:nvPicPr>
                    <pic:cNvPr descr="8_files/figure-docx/unnamed-chunk-2-43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53" name="Picture"/>
            <a:graphic>
              <a:graphicData uri="http://schemas.openxmlformats.org/drawingml/2006/picture">
                <pic:pic>
                  <pic:nvPicPr>
                    <pic:cNvPr descr="8_files/figure-docx/unnamed-chunk-2-44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56" name="Picture"/>
            <a:graphic>
              <a:graphicData uri="http://schemas.openxmlformats.org/drawingml/2006/picture">
                <pic:pic>
                  <pic:nvPicPr>
                    <pic:cNvPr descr="8_files/figure-docx/unnamed-chunk-2-45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59" name="Picture"/>
            <a:graphic>
              <a:graphicData uri="http://schemas.openxmlformats.org/drawingml/2006/picture">
                <pic:pic>
                  <pic:nvPicPr>
                    <pic:cNvPr descr="8_files/figure-docx/unnamed-chunk-2-46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62" name="Picture"/>
            <a:graphic>
              <a:graphicData uri="http://schemas.openxmlformats.org/drawingml/2006/picture">
                <pic:pic>
                  <pic:nvPicPr>
                    <pic:cNvPr descr="8_files/figure-docx/unnamed-chunk-2-47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65" name="Picture"/>
            <a:graphic>
              <a:graphicData uri="http://schemas.openxmlformats.org/drawingml/2006/picture">
                <pic:pic>
                  <pic:nvPicPr>
                    <pic:cNvPr descr="8_files/figure-docx/unnamed-chunk-2-48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68" name="Picture"/>
            <a:graphic>
              <a:graphicData uri="http://schemas.openxmlformats.org/drawingml/2006/picture">
                <pic:pic>
                  <pic:nvPicPr>
                    <pic:cNvPr descr="8_files/figure-docx/unnamed-chunk-2-49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71" name="Picture"/>
            <a:graphic>
              <a:graphicData uri="http://schemas.openxmlformats.org/drawingml/2006/picture">
                <pic:pic>
                  <pic:nvPicPr>
                    <pic:cNvPr descr="8_files/figure-docx/unnamed-chunk-2-50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74" name="Picture"/>
            <a:graphic>
              <a:graphicData uri="http://schemas.openxmlformats.org/drawingml/2006/picture">
                <pic:pic>
                  <pic:nvPicPr>
                    <pic:cNvPr descr="8_files/figure-docx/unnamed-chunk-2-51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77" name="Picture"/>
            <a:graphic>
              <a:graphicData uri="http://schemas.openxmlformats.org/drawingml/2006/picture">
                <pic:pic>
                  <pic:nvPicPr>
                    <pic:cNvPr descr="8_files/figure-docx/unnamed-chunk-2-52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80" name="Picture"/>
            <a:graphic>
              <a:graphicData uri="http://schemas.openxmlformats.org/drawingml/2006/picture">
                <pic:pic>
                  <pic:nvPicPr>
                    <pic:cNvPr descr="8_files/figure-docx/unnamed-chunk-2-53.png" id="181" name="Picture"/>
                    <pic:cNvPicPr>
                      <a:picLocks noChangeArrowheads="1"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83" name="Picture"/>
            <a:graphic>
              <a:graphicData uri="http://schemas.openxmlformats.org/drawingml/2006/picture">
                <pic:pic>
                  <pic:nvPicPr>
                    <pic:cNvPr descr="8_files/figure-docx/unnamed-chunk-2-54.png" id="184" name="Picture"/>
                    <pic:cNvPicPr>
                      <a:picLocks noChangeArrowheads="1"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86" name="Picture"/>
            <a:graphic>
              <a:graphicData uri="http://schemas.openxmlformats.org/drawingml/2006/picture">
                <pic:pic>
                  <pic:nvPicPr>
                    <pic:cNvPr descr="8_files/figure-docx/unnamed-chunk-2-55.png" id="187" name="Picture"/>
                    <pic:cNvPicPr>
                      <a:picLocks noChangeArrowheads="1"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89" name="Picture"/>
            <a:graphic>
              <a:graphicData uri="http://schemas.openxmlformats.org/drawingml/2006/picture">
                <pic:pic>
                  <pic:nvPicPr>
                    <pic:cNvPr descr="8_files/figure-docx/unnamed-chunk-2-56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92" name="Picture"/>
            <a:graphic>
              <a:graphicData uri="http://schemas.openxmlformats.org/drawingml/2006/picture">
                <pic:pic>
                  <pic:nvPicPr>
                    <pic:cNvPr descr="8_files/figure-docx/unnamed-chunk-2-57.png" id="193" name="Picture"/>
                    <pic:cNvPicPr>
                      <a:picLocks noChangeArrowheads="1"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95" name="Picture"/>
            <a:graphic>
              <a:graphicData uri="http://schemas.openxmlformats.org/drawingml/2006/picture">
                <pic:pic>
                  <pic:nvPicPr>
                    <pic:cNvPr descr="8_files/figure-docx/unnamed-chunk-2-58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198" name="Picture"/>
            <a:graphic>
              <a:graphicData uri="http://schemas.openxmlformats.org/drawingml/2006/picture">
                <pic:pic>
                  <pic:nvPicPr>
                    <pic:cNvPr descr="8_files/figure-docx/unnamed-chunk-2-59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01" name="Picture"/>
            <a:graphic>
              <a:graphicData uri="http://schemas.openxmlformats.org/drawingml/2006/picture">
                <pic:pic>
                  <pic:nvPicPr>
                    <pic:cNvPr descr="8_files/figure-docx/unnamed-chunk-2-60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04" name="Picture"/>
            <a:graphic>
              <a:graphicData uri="http://schemas.openxmlformats.org/drawingml/2006/picture">
                <pic:pic>
                  <pic:nvPicPr>
                    <pic:cNvPr descr="8_files/figure-docx/unnamed-chunk-2-61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07" name="Picture"/>
            <a:graphic>
              <a:graphicData uri="http://schemas.openxmlformats.org/drawingml/2006/picture">
                <pic:pic>
                  <pic:nvPicPr>
                    <pic:cNvPr descr="8_files/figure-docx/unnamed-chunk-2-62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10" name="Picture"/>
            <a:graphic>
              <a:graphicData uri="http://schemas.openxmlformats.org/drawingml/2006/picture">
                <pic:pic>
                  <pic:nvPicPr>
                    <pic:cNvPr descr="8_files/figure-docx/unnamed-chunk-2-63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13" name="Picture"/>
            <a:graphic>
              <a:graphicData uri="http://schemas.openxmlformats.org/drawingml/2006/picture">
                <pic:pic>
                  <pic:nvPicPr>
                    <pic:cNvPr descr="8_files/figure-docx/unnamed-chunk-2-64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16" name="Picture"/>
            <a:graphic>
              <a:graphicData uri="http://schemas.openxmlformats.org/drawingml/2006/picture">
                <pic:pic>
                  <pic:nvPicPr>
                    <pic:cNvPr descr="8_files/figure-docx/unnamed-chunk-2-65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19" name="Picture"/>
            <a:graphic>
              <a:graphicData uri="http://schemas.openxmlformats.org/drawingml/2006/picture">
                <pic:pic>
                  <pic:nvPicPr>
                    <pic:cNvPr descr="8_files/figure-docx/unnamed-chunk-2-66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22" name="Picture"/>
            <a:graphic>
              <a:graphicData uri="http://schemas.openxmlformats.org/drawingml/2006/picture">
                <pic:pic>
                  <pic:nvPicPr>
                    <pic:cNvPr descr="8_files/figure-docx/unnamed-chunk-2-67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25" name="Picture"/>
            <a:graphic>
              <a:graphicData uri="http://schemas.openxmlformats.org/drawingml/2006/picture">
                <pic:pic>
                  <pic:nvPicPr>
                    <pic:cNvPr descr="8_files/figure-docx/unnamed-chunk-2-68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28" name="Picture"/>
            <a:graphic>
              <a:graphicData uri="http://schemas.openxmlformats.org/drawingml/2006/picture">
                <pic:pic>
                  <pic:nvPicPr>
                    <pic:cNvPr descr="8_files/figure-docx/unnamed-chunk-2-69.png" id="229" name="Picture"/>
                    <pic:cNvPicPr>
                      <a:picLocks noChangeArrowheads="1"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31" name="Picture"/>
            <a:graphic>
              <a:graphicData uri="http://schemas.openxmlformats.org/drawingml/2006/picture">
                <pic:pic>
                  <pic:nvPicPr>
                    <pic:cNvPr descr="8_files/figure-docx/unnamed-chunk-2-70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34" name="Picture"/>
            <a:graphic>
              <a:graphicData uri="http://schemas.openxmlformats.org/drawingml/2006/picture">
                <pic:pic>
                  <pic:nvPicPr>
                    <pic:cNvPr descr="8_files/figure-docx/unnamed-chunk-2-71.png" id="235" name="Picture"/>
                    <pic:cNvPicPr>
                      <a:picLocks noChangeArrowheads="1"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y1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y.school1</w:t>
      </w:r>
      <w:r>
        <w:br/>
      </w:r>
      <w:r>
        <w:rPr>
          <w:rStyle w:val="NormalTok"/>
        </w:rPr>
        <w:t xml:space="preserve">y2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y.school2</w:t>
      </w:r>
      <w:r>
        <w:br/>
      </w:r>
      <w:r>
        <w:rPr>
          <w:rStyle w:val="NormalTok"/>
        </w:rPr>
        <w:t xml:space="preserve">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(y1)</w:t>
      </w:r>
      <w:r>
        <w:br/>
      </w:r>
      <w:r>
        <w:rPr>
          <w:rStyle w:val="NormalTok"/>
        </w:rPr>
        <w:t xml:space="preserve">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(y2)</w:t>
      </w:r>
      <w:r>
        <w:br/>
      </w:r>
      <w:r>
        <w:br/>
      </w:r>
      <w:r>
        <w:rPr>
          <w:rStyle w:val="CommentTok"/>
        </w:rPr>
        <w:t xml:space="preserve"># Priors</w:t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NormalTok"/>
        </w:rPr>
        <w:t xml:space="preserve">g20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625</w:t>
      </w:r>
      <w:r>
        <w:br/>
      </w:r>
      <w:r>
        <w:rPr>
          <w:rStyle w:val="NormalTok"/>
        </w:rPr>
        <w:t xml:space="preserve">del0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t20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625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CommentTok"/>
        </w:rPr>
        <w:t xml:space="preserve"># starting values based on ML estimates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(y1)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(y2))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del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(y1)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(y2))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CommentTok"/>
        </w:rPr>
        <w:t xml:space="preserve"># Gibbs sampler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S)</w:t>
      </w:r>
      <w:r>
        <w:br/>
      </w:r>
      <w:r>
        <w:rPr>
          <w:rStyle w:val="NormalTok"/>
        </w:rPr>
        <w:t xml:space="preserve">DEL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S)</w:t>
      </w:r>
      <w:r>
        <w:br/>
      </w:r>
      <w:r>
        <w:rPr>
          <w:rStyle w:val="NormalTok"/>
        </w:rPr>
        <w:t xml:space="preserve">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S)</w:t>
      </w:r>
      <w:r>
        <w:br/>
      </w:r>
      <w:r>
        <w:rPr>
          <w:rStyle w:val="NormalTok"/>
        </w:rPr>
        <w:t xml:space="preserve">Y12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 {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s2 according to p.128 eq 3</w:t>
      </w:r>
      <w:r>
        <w:br/>
      </w:r>
      <w:r>
        <w:rPr>
          <w:rStyle w:val="NormalTok"/>
        </w:rPr>
        <w:t xml:space="preserve">  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(nu0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del)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del)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mu according to p.128 eq 1</w:t>
      </w:r>
      <w:r>
        <w:br/>
      </w:r>
      <w:r>
        <w:rPr>
          <w:rStyle w:val="NormalTok"/>
        </w:rPr>
        <w:t xml:space="preserve">  var.mu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g20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s2)</w:t>
      </w:r>
      <w:r>
        <w:br/>
      </w:r>
      <w:r>
        <w:rPr>
          <w:rStyle w:val="NormalTok"/>
        </w:rPr>
        <w:t xml:space="preserve">  mean.mu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var.mu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(mu0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g20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del)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del)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s2)</w:t>
      </w:r>
      <w:r>
        <w:br/>
      </w:r>
      <w:r>
        <w:rPr>
          <w:rStyle w:val="NormalTok"/>
        </w:rPr>
        <w:t xml:space="preserve">  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mean.mu,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(var.mu))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del according to p.128 eq 2</w:t>
      </w:r>
      <w:r>
        <w:br/>
      </w:r>
      <w:r>
        <w:rPr>
          <w:rStyle w:val="NormalTok"/>
        </w:rPr>
        <w:t xml:space="preserve">  var.del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s2 )</w:t>
      </w:r>
      <w:r>
        <w:br/>
      </w:r>
      <w:r>
        <w:rPr>
          <w:rStyle w:val="NormalTok"/>
        </w:rPr>
        <w:t xml:space="preserve">  mean.del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var.del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(del0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s2)</w:t>
      </w:r>
      <w:r>
        <w:br/>
      </w:r>
      <w:r>
        <w:rPr>
          <w:rStyle w:val="NormalTok"/>
        </w:rPr>
        <w:t xml:space="preserve">  del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mean.del,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(var.del))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Store params</w:t>
      </w:r>
      <w:r>
        <w:br/>
      </w:r>
      <w:r>
        <w:rPr>
          <w:rStyle w:val="NormalTok"/>
        </w:rPr>
        <w:t xml:space="preserve">  MU[s]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mu</w:t>
      </w:r>
      <w:r>
        <w:br/>
      </w:r>
      <w:r>
        <w:rPr>
          <w:rStyle w:val="NormalTok"/>
        </w:rPr>
        <w:t xml:space="preserve">  DEL[s]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del</w:t>
      </w:r>
      <w:r>
        <w:br/>
      </w:r>
      <w:r>
        <w:rPr>
          <w:rStyle w:val="NormalTok"/>
        </w:rPr>
        <w:t xml:space="preserve">  S2[s]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s2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from posterior</w:t>
      </w:r>
      <w:r>
        <w:br/>
      </w:r>
      <w:r>
        <w:rPr>
          <w:rStyle w:val="NormalTok"/>
        </w:rPr>
        <w:t xml:space="preserve">  Y12[s,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del,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(s2))</w:t>
      </w:r>
      <w:r>
        <w:br/>
      </w:r>
      <w:r>
        <w:rPr>
          <w:rStyle w:val="NormalTok"/>
        </w:rPr>
        <w:t xml:space="preserve">}                 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MU))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mu))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37" name="Picture"/>
            <a:graphic>
              <a:graphicData uri="http://schemas.openxmlformats.org/drawingml/2006/picture">
                <pic:pic>
                  <pic:nvPicPr>
                    <pic:cNvPr descr="8_files/figure-docx/unnamed-chunk-2-72.png" id="238" name="Picture"/>
                    <pic:cNvPicPr>
                      <a:picLocks noChangeArrowheads="1"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Now we can directly estimate the probability that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(DEL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0.95</w:t>
      </w:r>
    </w:p>
    <w:p>
      <w:pPr>
        <w:pStyle w:val="FirstParagraph"/>
      </w:pPr>
      <w:r>
        <w:t xml:space="preserve">as well as the probability that an individual from school 1 is higher than school 2, which due to variance is a bit lower: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(Y12[,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Y12[,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[1] 0.6232</w:t>
      </w:r>
    </w:p>
    <w:bookmarkEnd w:id="239"/>
    <w:bookmarkEnd w:id="240"/>
    <w:bookmarkStart w:id="242" w:name="comparing-multiple-groups"/>
    <w:p>
      <w:pPr>
        <w:pStyle w:val="Heading1"/>
      </w:pPr>
      <w:r>
        <w:t xml:space="preserve">2. Comparing multiple groups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Let’s extend this to a</w:t>
      </w:r>
      <w:r>
        <w:t xml:space="preserve"> </w:t>
      </w:r>
      <m:oMath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group case. Assume for our example above that we</w:t>
      </w:r>
      <w:r>
        <w:t xml:space="preserve"> </w:t>
      </w:r>
      <w:r>
        <w:t xml:space="preserve">have many schools, which we assume are samples from a population of schools. So</w:t>
      </w:r>
      <w:r>
        <w:t xml:space="preserve"> </w:t>
      </w:r>
      <w:r>
        <w:t xml:space="preserve">our dataset is</w:t>
      </w:r>
      <w:r>
        <w:t xml:space="preserve"> </w:t>
      </w:r>
      <w:r>
        <w:rPr>
          <w:i/>
          <w:iCs/>
        </w:rPr>
        <w:t xml:space="preserve">hierarchical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multilevel</w:t>
      </w:r>
      <w:r>
        <w:t xml:space="preserve"> </w:t>
      </w:r>
      <w:r>
        <w:t xml:space="preserve">since there are samples of schools</w:t>
      </w:r>
      <w:r>
        <w:t xml:space="preserve"> </w:t>
      </w:r>
      <w:r>
        <w:t xml:space="preserve">and within each school samples of students.</w:t>
      </w:r>
    </w:p>
    <w:bookmarkStart w:id="241" w:name="exchangeability-and-hierarchical-models"/>
    <w:p>
      <w:pPr>
        <w:pStyle w:val="Heading2"/>
      </w:pPr>
      <w:r>
        <w:t xml:space="preserve">2.1 Exchangeability and hierarchical models</w:t>
      </w:r>
    </w:p>
    <w:p>
      <w:pPr>
        <w:pStyle w:val="FirstParagraph"/>
      </w:pPr>
      <w:r>
        <w:t xml:space="preserve">Using de Finetti’s theorem and assuming exchangability, we knew previously that</w:t>
      </w:r>
      <w:r>
        <w:t xml:space="preserve"> </w:t>
      </w:r>
      <w:r>
        <w:t xml:space="preserve">for a single group, we can treat the data within the group as being</w:t>
      </w:r>
      <w:r>
        <w:t xml:space="preserve"> </w:t>
      </w:r>
      <w:r>
        <w:t xml:space="preserve">conditionally i.i.d. given a parameter, which we call the</w:t>
      </w:r>
      <w:r>
        <w:t xml:space="preserve"> </w:t>
      </w:r>
      <w:r>
        <w:rPr>
          <w:b/>
          <w:bCs/>
        </w:rPr>
        <w:t xml:space="preserve">within-group sampling variability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{</m:t>
          </m:r>
          <m:sSub>
            <m:e>
              <m:r>
                <m:t>Y</m:t>
              </m:r>
            </m:e>
            <m:sub>
              <m:r>
                <m:t>1</m:t>
              </m:r>
              <m:r>
                <m:rPr>
                  <m:sty m:val="p"/>
                </m:rPr>
                <m:t>,</m:t>
              </m:r>
              <m:r>
                <m:t>j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r>
                <m:t>j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ϕ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}</m:t>
          </m:r>
          <m:r>
            <m:rPr>
              <m:sty m:val="p"/>
            </m:rPr>
            <m:t>∼</m:t>
          </m:r>
          <m:r>
            <m:rPr>
              <m:nor/>
              <m:sty m:val="p"/>
            </m:rPr>
            <m:t>i.i.d.</m:t>
          </m:r>
          <m:r>
            <m:t> 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ϕ</m:t>
                  </m:r>
                </m:e>
                <m:sub>
                  <m:r>
                    <m:t>j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Further, if we have many groups with parameters</w:t>
      </w:r>
      <w:r>
        <w:t xml:space="preserve"> </w:t>
      </w:r>
      <m:oMath>
        <m:sSub>
          <m:e>
            <m:r>
              <m:t>ϕ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that we assume are</w:t>
      </w:r>
      <w:r>
        <w:t xml:space="preserve"> </w:t>
      </w:r>
      <w:r>
        <w:t xml:space="preserve">sampled from a population of</w:t>
      </w:r>
      <w:r>
        <w:t xml:space="preserve"> </w:t>
      </w:r>
      <w:r>
        <w:rPr>
          <w:i/>
          <w:iCs/>
        </w:rPr>
        <w:t xml:space="preserve">groups</w:t>
      </w:r>
      <w:r>
        <w:t xml:space="preserve"> </w:t>
      </w:r>
      <w:r>
        <w:t xml:space="preserve">we can again use de Finetti’s theorem to</w:t>
      </w:r>
      <w:r>
        <w:t xml:space="preserve"> </w:t>
      </w:r>
      <w:r>
        <w:t xml:space="preserve">treat the group means</w:t>
      </w:r>
      <w:r>
        <w:t xml:space="preserve"> </w:t>
      </w:r>
      <m:oMath>
        <m:sSub>
          <m:e>
            <m:r>
              <m:t>ϕ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as conditionally i.i.d. given another parameter,</w:t>
      </w:r>
      <w:r>
        <w:t xml:space="preserve"> </w:t>
      </w:r>
      <w:r>
        <w:t xml:space="preserve">which we call the</w:t>
      </w:r>
      <w:r>
        <w:t xml:space="preserve"> </w:t>
      </w:r>
      <w:r>
        <w:rPr>
          <w:b/>
          <w:bCs/>
        </w:rPr>
        <w:t xml:space="preserve">between-group sampling variability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{</m:t>
          </m:r>
          <m:sSub>
            <m:e>
              <m:r>
                <m:t>ϕ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ϕ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∣</m:t>
          </m:r>
          <m:r>
            <m:t>ψ</m:t>
          </m:r>
          <m:r>
            <m:rPr>
              <m:sty m:val="p"/>
            </m:rPr>
            <m:t>}</m:t>
          </m:r>
          <m:r>
            <m:rPr>
              <m:sty m:val="p"/>
            </m:rPr>
            <m:t>∼</m:t>
          </m:r>
          <m:r>
            <m:rPr>
              <m:nor/>
              <m:sty m:val="p"/>
            </m:rPr>
            <m:t>i.i.d.</m:t>
          </m:r>
          <m:r>
            <m:t> 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ϕ</m:t>
              </m:r>
              <m:r>
                <m:rPr>
                  <m:sty m:val="p"/>
                </m:rPr>
                <m:t>∣</m:t>
              </m:r>
              <m:r>
                <m:t>ψ</m:t>
              </m:r>
            </m:e>
          </m:d>
        </m:oMath>
      </m:oMathPara>
    </w:p>
    <w:p>
      <w:pPr>
        <w:pStyle w:val="FirstParagraph"/>
      </w:pPr>
      <w:r>
        <w:t xml:space="preserve">Then we simply need a prior distribution on the parameter for the group parameters (a</w:t>
      </w:r>
      <w:r>
        <w:t xml:space="preserve"> </w:t>
      </w:r>
      <w:r>
        <w:t xml:space="preserve">“hyperparameter”</w:t>
      </w:r>
      <w:r>
        <w:t xml:space="preserve">)</w:t>
      </w:r>
      <w:r>
        <w:t xml:space="preserve"> </w:t>
      </w:r>
      <m:oMath>
        <m:r>
          <m:t>ψ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r>
            <m:rPr>
              <m:sty m:val="p"/>
            </m:rPr>
            <m:t>∼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ψ</m:t>
              </m:r>
            </m:e>
          </m:d>
        </m:oMath>
      </m:oMathPara>
    </w:p>
    <w:p>
      <w:pPr>
        <w:pStyle w:val="FirstParagraph"/>
      </w:pPr>
      <w:r>
        <w:t xml:space="preserve">Note that we can extend this hierarchy arbitrarily.</w:t>
      </w:r>
    </w:p>
    <w:bookmarkEnd w:id="241"/>
    <w:bookmarkEnd w:id="242"/>
    <w:bookmarkStart w:id="246" w:name="the-hierarchical-normal-model"/>
    <w:p>
      <w:pPr>
        <w:pStyle w:val="Heading1"/>
      </w:pPr>
      <w:r>
        <w:t xml:space="preserve">3. The hierarchical normal model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key of the hierarchical normal model is to treat the data within a group as</w:t>
      </w:r>
      <w:r>
        <w:t xml:space="preserve"> </w:t>
      </w:r>
      <w:r>
        <w:t xml:space="preserve">being normally distributed with some mean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and the means among</w:t>
      </w:r>
      <w:r>
        <w:t xml:space="preserve"> </w:t>
      </w:r>
      <w:r>
        <w:t xml:space="preserve">groups to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be normally distributed according to some other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variance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. Note that for now we’re assuming that the data within groups share a</w:t>
      </w:r>
      <w:r>
        <w:t xml:space="preserve"> </w:t>
      </w:r>
      <w:r>
        <w:t xml:space="preserve">common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that doesn’t depend on the group</w:t>
      </w:r>
      <w:r>
        <w:t xml:space="preserve"> </w:t>
      </w:r>
      <m:oMath>
        <m:r>
          <m:t>j</m:t>
        </m:r>
      </m:oMath>
      <w:r>
        <w:t xml:space="preserve">.</w:t>
      </w:r>
    </w:p>
    <w:p>
      <w:pPr>
        <w:pStyle w:val="BodyText"/>
      </w:pPr>
      <w:r>
        <w:t xml:space="preserve">Specifically, we have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Compact"/>
        <w:numPr>
          <w:ilvl w:val="0"/>
          <w:numId w:val="1007"/>
        </w:numPr>
      </w:pPr>
      <m:oMath>
        <m:sSub>
          <m:e>
            <m:r>
              <m:t>θ</m:t>
            </m:r>
          </m:e>
          <m:sub>
            <m:r>
              <m:t>j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pStyle w:val="FirstParagraph"/>
      </w:pPr>
      <w:r>
        <w:t xml:space="preserve">So for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groups, we have unknown parameters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m</m:t>
            </m:r>
          </m:sub>
        </m:sSub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the within-group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and the mean and variance of the group</w:t>
      </w:r>
      <w:r>
        <w:t xml:space="preserve"> </w:t>
      </w:r>
      <w:r>
        <w:t xml:space="preserve">means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 Notice that there are three fixed parameters for which we</w:t>
      </w:r>
      <w:r>
        <w:t xml:space="preserve"> </w:t>
      </w:r>
      <w:r>
        <w:t xml:space="preserve">need to specify prior distributions: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 Our priors</w:t>
      </w:r>
      <w:r>
        <w:t xml:space="preserve"> </w:t>
      </w:r>
      <w:r>
        <w:t xml:space="preserve">will be standard inverse-gamma and normal semiconjugate priors:</w:t>
      </w:r>
    </w:p>
    <w:p>
      <w:pPr>
        <w:pStyle w:val="BodyText"/>
      </w:pPr>
    </w:p>
    <w:p>
      <w:pPr>
        <w:pStyle w:val="BodyText"/>
      </w:pPr>
      <w:r>
        <w:rPr>
          <w:b/>
          <w:bCs/>
        </w:rPr>
        <w:t xml:space="preserve">Fig 8.3</w:t>
      </w:r>
      <w:r>
        <w:t xml:space="preserve"> </w:t>
      </w:r>
      <w:r>
        <w:t xml:space="preserve">isn’t reproduced here in these notes but is important for</w:t>
      </w:r>
      <w:r>
        <w:t xml:space="preserve"> </w:t>
      </w:r>
      <w:r>
        <w:t xml:space="preserve">visualizing the model. It especially helps to know how Bayesian networks are interpreted,</w:t>
      </w:r>
      <w:r>
        <w:t xml:space="preserve"> </w:t>
      </w:r>
      <w:r>
        <w:t xml:space="preserve">which helps explain the conditional dependencies.</w:t>
      </w:r>
    </w:p>
    <w:bookmarkStart w:id="245" w:name="posterior-inference"/>
    <w:p>
      <w:pPr>
        <w:pStyle w:val="Heading2"/>
      </w:pPr>
      <w:r>
        <w:t xml:space="preserve">3.1 Posterior inference</w:t>
      </w:r>
    </w:p>
    <w:bookmarkStart w:id="243" w:name="intuition"/>
    <w:p>
      <w:pPr>
        <w:pStyle w:val="Heading3"/>
      </w:pPr>
      <w:r>
        <w:t xml:space="preserve">3.1.1 Intuition</w:t>
      </w:r>
    </w:p>
    <w:p>
      <w:pPr>
        <w:pStyle w:val="FirstParagraph"/>
      </w:pPr>
      <w:r>
        <w:t xml:space="preserve">We have samples from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groups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m</m:t>
            </m:r>
          </m:sub>
        </m:sSub>
        <m:r>
          <m:rPr>
            <m:sty m:val="p"/>
          </m:rPr>
          <m:t>}</m:t>
        </m:r>
      </m:oMath>
      <w:r>
        <w:t xml:space="preserve">. Our task is to sample from the posterior distribution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θ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r>
                <m:t>μ</m:t>
              </m:r>
              <m:r>
                <m:rPr>
                  <m:sty m:val="p"/>
                </m:rPr>
                <m:t>,</m:t>
              </m:r>
              <m:sSup>
                <m:e>
                  <m:r>
                    <m:t>τ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ty m:val="b"/>
                    </m:rP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ty m:val="b"/>
                    </m:rPr>
                    <m:t>y</m:t>
                  </m:r>
                </m:e>
                <m:sub>
                  <m:r>
                    <m:t>m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for which we’ll use a Gibbs sampler. We need to find the full conditionals for</w:t>
      </w:r>
      <w:r>
        <w:t xml:space="preserve"> </w:t>
      </w:r>
      <w:r>
        <w:t xml:space="preserve">all unknown quantities above, which seems intimidating. In the Chapter 6 notes</w:t>
      </w:r>
      <w:r>
        <w:t xml:space="preserve"> </w:t>
      </w:r>
      <w:r>
        <w:t xml:space="preserve">In the Chapter 6 notes (</w:t>
      </w:r>
      <w:r>
        <w:t xml:space="preserve">“a shortcut for thinking about full conditionals”</w:t>
      </w:r>
      <w:r>
        <w:t xml:space="preserve">), it should be mentioned that</w:t>
      </w:r>
      <w:r>
        <w:t xml:space="preserve"> </w:t>
      </w:r>
      <w:r>
        <w:t xml:space="preserve">obtaining the full conditional for a single parameter is fairly straightforward</w:t>
      </w:r>
      <w:r>
        <w:t xml:space="preserve"> </w:t>
      </w:r>
      <w:r>
        <w:t xml:space="preserve">by simply writing the entire joint posterior but then treating the other</w:t>
      </w:r>
      <w:r>
        <w:t xml:space="preserve"> </w:t>
      </w:r>
      <w:r>
        <w:t xml:space="preserve">parameters as constants that can be discarded via proportionality.</w:t>
      </w:r>
    </w:p>
    <w:p>
      <w:pPr>
        <w:pStyle w:val="BodyText"/>
      </w:pPr>
      <w:r>
        <w:t xml:space="preserve">To obtain the full joint posterior we will take use key independence assumptions</w:t>
      </w:r>
      <w:r>
        <w:t xml:space="preserve"> </w:t>
      </w:r>
      <w:r>
        <w:t xml:space="preserve">between the parameters of our model. For example, given a group-specific mean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, the corresponding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 </w:t>
      </w:r>
      <w:r>
        <w:t xml:space="preserve">depend only on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and not 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(this is implied in Figure</w:t>
      </w:r>
      <w:r>
        <w:t xml:space="preserve"> </w:t>
      </w:r>
      <w:r>
        <w:t xml:space="preserve">8.3).</w:t>
      </w:r>
    </w:p>
    <w:p>
      <w:pPr>
        <w:pStyle w:val="BodyText"/>
      </w:pPr>
    </w:p>
    <w:p>
      <w:pPr>
        <w:pStyle w:val="BodyText"/>
      </w:pPr>
      <w:r>
        <w:t xml:space="preserve">Now to evaluate a full conditional, for example that for</w:t>
      </w:r>
      <w:r>
        <w:t xml:space="preserve"> </w:t>
      </w:r>
      <m:oMath>
        <m:r>
          <m:t>μ</m:t>
        </m:r>
      </m:oMath>
      <w:r>
        <w:t xml:space="preserve">, we take the full posterior and discard all terms that don’t depend on</w:t>
      </w:r>
      <w:r>
        <w:t xml:space="preserve"> </w:t>
      </w:r>
      <m:oMath>
        <m:r>
          <m:t>μ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θ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τ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ty m:val="b"/>
                    </m:rP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ty m:val="b"/>
                    </m:rPr>
                    <m:t>y</m:t>
                  </m:r>
                </m:e>
                <m:sub>
                  <m:r>
                    <m:t>m</m:t>
                  </m:r>
                </m:sub>
              </m:sSub>
            </m:e>
          </m:d>
          <m:r>
            <m:rPr>
              <m:sty m:val="p"/>
            </m:rPr>
            <m:t>∝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m</m:t>
              </m:r>
            </m:sup>
            <m:e>
              <m:r>
                <m:t>p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μ</m:t>
              </m:r>
              <m:r>
                <m:rPr>
                  <m:sty m:val="p"/>
                </m:rPr>
                <m:t>,</m:t>
              </m:r>
              <m:sSup>
                <m:e>
                  <m:r>
                    <m:t>τ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which in this case looks exactly like a standard one-sample Normal posterior</w:t>
      </w:r>
      <w:r>
        <w:t xml:space="preserve"> </w:t>
      </w:r>
      <w:r>
        <w:t xml:space="preserve">from Chapter 6, so we borrow that result and replace the relevant variables from</w:t>
      </w:r>
      <w:r>
        <w:t xml:space="preserve"> </w:t>
      </w:r>
      <w:r>
        <w:t xml:space="preserve">our priors. We can do this similarly for the other parameters.</w:t>
      </w:r>
    </w:p>
    <w:bookmarkEnd w:id="243"/>
    <w:bookmarkStart w:id="244" w:name="quantities"/>
    <w:p>
      <w:pPr>
        <w:pStyle w:val="Heading3"/>
      </w:pPr>
      <w:r>
        <w:t xml:space="preserve">3.1.2 Quantities</w:t>
      </w:r>
    </w:p>
    <w:p>
      <w:pPr>
        <w:pStyle w:val="FirstParagraph"/>
      </w:pPr>
      <w:r>
        <w:t xml:space="preserve">Since the work is quite tedious, the derivations for the full</w:t>
      </w:r>
      <w:r>
        <w:t xml:space="preserve"> </w:t>
      </w:r>
      <w:r>
        <w:t xml:space="preserve">conditionals of the parameters. To summarize, given priors</w:t>
      </w:r>
    </w:p>
    <w:p>
      <w:pPr>
        <w:pStyle w:val="BodyText"/>
      </w:pPr>
    </w:p>
    <w:p>
      <w:pPr>
        <w:pStyle w:val="BodyText"/>
      </w:pPr>
      <w:r>
        <w:t xml:space="preserve">the full conditionals are</w:t>
      </w:r>
    </w:p>
    <w:p>
      <w:pPr>
        <w:pStyle w:val="BodyText"/>
      </w:pPr>
    </w:p>
    <w:p>
      <w:pPr>
        <w:pStyle w:val="BodyText"/>
      </w:pPr>
      <w:r>
        <w:t xml:space="preserve">It’s worth briefly discussing what these values represent. The full conditionals</w:t>
      </w:r>
      <w:r>
        <w:t xml:space="preserve"> </w:t>
      </w:r>
      <w:r>
        <w:t xml:space="preserve">for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look like standard normal posteriors. Similarly, the full</w:t>
      </w:r>
      <w:r>
        <w:t xml:space="preserve"> </w:t>
      </w:r>
      <w:r>
        <w:t xml:space="preserve">conditional for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looks like a normal posterior dependent only on the</w:t>
      </w:r>
      <w:r>
        <w:t xml:space="preserve"> </w:t>
      </w:r>
      <w:r>
        <w:t xml:space="preserve">specific subgroup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the common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 Lastly</w:t>
      </w:r>
      <w:r>
        <w:t xml:space="preserve"> </w:t>
      </w:r>
      <w:r>
        <w:t xml:space="preserve">(and most interestingly), notice that the posterior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looks like a</w:t>
      </w:r>
      <w:r>
        <w:t xml:space="preserve"> </w:t>
      </w:r>
      <w:r>
        <w:t xml:space="preserve">standard inverse gamma posterior which depends on</w:t>
      </w:r>
      <w:r>
        <w:t xml:space="preserve"> </w:t>
      </w:r>
      <m:oMath>
        <m:r>
          <m:rPr>
            <m:sty m:val="p"/>
          </m:rPr>
          <m:t>∑</m:t>
        </m:r>
        <m:r>
          <m:rPr>
            <m:sty m:val="p"/>
          </m:rPr>
          <m:t>∑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which is the pooled variance across all groups (see also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).</w:t>
      </w:r>
    </w:p>
    <w:bookmarkEnd w:id="244"/>
    <w:bookmarkEnd w:id="245"/>
    <w:bookmarkEnd w:id="246"/>
    <w:bookmarkStart w:id="254" w:name="X502ace821727d3e38b88b818e6d8ad1f3ef2258"/>
    <w:p>
      <w:pPr>
        <w:pStyle w:val="Heading1"/>
      </w:pPr>
      <w:r>
        <w:t xml:space="preserve">4. Example: Math scores in U.S. public schools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now look at the full dataset of math scores from 100 schools: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48" name="Picture"/>
            <a:graphic>
              <a:graphicData uri="http://schemas.openxmlformats.org/drawingml/2006/picture">
                <pic:pic>
                  <pic:nvPicPr>
                    <pic:cNvPr descr="8_files/figure-docx/unnamed-chunk-5-1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52" w:name="X72d52ed567e3afc32f88d5a92ff00af52ea0967"/>
    <w:p>
      <w:pPr>
        <w:pStyle w:val="Heading2"/>
      </w:pPr>
      <w:r>
        <w:t xml:space="preserve">4.1 Prior distributions and posterior approximation</w:t>
      </w:r>
    </w:p>
    <w:p>
      <w:pPr>
        <w:pStyle w:val="FirstParagraph"/>
      </w:pPr>
      <w:r>
        <w:t xml:space="preserve">We need to specify the following priors: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∼</m:t>
          </m:r>
          <m:r>
            <m:rPr>
              <m:nor/>
              <m:sty m:val="p"/>
            </m:rPr>
            <m:t>inverse-gamma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σ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</m:e>
          </m:d>
        </m:oMath>
      </m:oMathPara>
    </w:p>
    <w:p>
      <w:pPr>
        <w:pStyle w:val="FirstParagraph"/>
      </w:pPr>
      <w:r>
        <w:t xml:space="preserve">If we know the math exam was designed to give a nationwide variance of 100, we</w:t>
      </w:r>
      <w:r>
        <w:t xml:space="preserve"> </w:t>
      </w:r>
      <w:r>
        <w:t xml:space="preserve">can set the within-school variance to 100. This is probably an overestimate</w:t>
      </w:r>
      <w:r>
        <w:t xml:space="preserve"> </w:t>
      </w:r>
      <w:r>
        <w:t xml:space="preserve">since the within-school variance should be less than the nationwide estimate.</w:t>
      </w:r>
      <w:r>
        <w:t xml:space="preserve"> </w:t>
      </w:r>
      <w:r>
        <w:t xml:space="preserve">Regardless, we set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100</m:t>
        </m:r>
        <m:r>
          <m:rPr>
            <m:sty m:val="p"/>
          </m:rPr>
          <m:t>,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to weakly concentrate the prior</w:t>
      </w:r>
      <w:r>
        <w:t xml:space="preserve"> </w:t>
      </w:r>
      <w:r>
        <w:t xml:space="preserve">around 100.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τ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∼</m:t>
          </m:r>
          <m:r>
            <m:rPr>
              <m:nor/>
              <m:sty m:val="p"/>
            </m:rPr>
            <m:t>inverse-gamma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τ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</m:e>
          </m:d>
        </m:oMath>
      </m:oMathPara>
    </w:p>
    <w:p>
      <w:pPr>
        <w:pStyle w:val="FirstParagraph"/>
      </w:pPr>
      <w:r>
        <w:t xml:space="preserve">Similarly, we set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100</m:t>
        </m:r>
        <m:r>
          <m:rPr>
            <m:sty m:val="p"/>
          </m:rPr>
          <m:t>,</m:t>
        </m:r>
        <m:sSub>
          <m:e>
            <m:r>
              <m:t>η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μ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∼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γ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</m:e>
          </m:d>
        </m:oMath>
      </m:oMathPara>
    </w:p>
    <w:p>
      <w:pPr>
        <w:pStyle w:val="FirstParagraph"/>
      </w:pPr>
      <w:r>
        <w:t xml:space="preserve">Since the mean over all schools should be 50, we set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50</m:t>
        </m:r>
        <m:r>
          <m:rPr>
            <m:sty m:val="p"/>
          </m:rPr>
          <m:t>,</m:t>
        </m:r>
        <m:sSubSup>
          <m:e>
            <m:r>
              <m:t>γ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25</m:t>
        </m:r>
      </m:oMath>
      <w:r>
        <w:t xml:space="preserve">, so that 95% of the probability of our prior is in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40</m:t>
            </m:r>
            <m:r>
              <m:rPr>
                <m:sty m:val="p"/>
              </m:rPr>
              <m:t>,</m:t>
            </m:r>
            <m:r>
              <m:t>60</m:t>
            </m:r>
          </m:e>
        </m:d>
      </m:oMath>
      <w:r>
        <w:t xml:space="preserve">.</w:t>
      </w:r>
    </w:p>
    <w:bookmarkStart w:id="250" w:name="gibbs-sampling"/>
    <w:p>
      <w:pPr>
        <w:pStyle w:val="Heading3"/>
      </w:pPr>
      <w:r>
        <w:t xml:space="preserve">4.1.1 Gibbs sampling</w:t>
      </w:r>
    </w:p>
    <w:p>
      <w:pPr>
        <w:pStyle w:val="FirstParagraph"/>
      </w:pPr>
      <w:r>
        <w:t xml:space="preserve">Now that we’re sampling more and more parameters</w:t>
      </w:r>
      <w:r>
        <w:t xml:space="preserve"> </w:t>
      </w:r>
      <m:oMath>
        <m:r>
          <m:rPr>
            <m:sty m:val="p"/>
          </m:rPr>
          <m:t>{</m:t>
        </m:r>
        <m:sSup>
          <m:e>
            <m:r>
              <m:t>μ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  <m:r>
          <m:rPr>
            <m:sty m:val="p"/>
          </m:rPr>
          <m:t>,</m:t>
        </m:r>
        <m:sSup>
          <m:e>
            <m:r>
              <m:t>τ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  <m:r>
          <m:rPr>
            <m:sty m:val="p"/>
          </m:rPr>
          <m:t>,</m:t>
        </m:r>
        <m:sSubSup>
          <m:e>
            <m:r>
              <m:t>θ</m:t>
            </m:r>
          </m:e>
          <m:sub>
            <m:r>
              <m:t>1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θ</m:t>
            </m:r>
          </m:e>
          <m:sub>
            <m:r>
              <m:t>m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bSup>
        <m:r>
          <m:rPr>
            <m:sty m:val="p"/>
          </m:rPr>
          <m:t>}</m:t>
        </m:r>
      </m:oMath>
      <w:r>
        <w:t xml:space="preserve">, there’s a key point</w:t>
      </w:r>
      <w:r>
        <w:t xml:space="preserve"> </w:t>
      </w:r>
      <w:r>
        <w:t xml:space="preserve">about Gibbs sampling that must be emphasized: the order in which we sample the</w:t>
      </w:r>
      <w:r>
        <w:t xml:space="preserve"> </w:t>
      </w:r>
      <w:r>
        <w:t xml:space="preserve">new parameters doesn’t matter, but each parameter must be updated according to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most current</w:t>
      </w:r>
      <w:r>
        <w:t xml:space="preserve"> </w:t>
      </w:r>
      <w:r>
        <w:t xml:space="preserve">values of the other parameters. That is, if we have sampled</w:t>
      </w:r>
      <w:r>
        <w:t xml:space="preserve"> </w:t>
      </w:r>
      <m:oMath>
        <m:sSup>
          <m:e>
            <m:r>
              <m:t>μ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</m:oMath>
      <w:r>
        <w:t xml:space="preserve">, the sample of</w:t>
      </w:r>
      <w:r>
        <w:t xml:space="preserve"> </w:t>
      </w:r>
      <m:oMath>
        <m:sSup>
          <m:e>
            <m:r>
              <m:t>τ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</m:oMath>
      <w:r>
        <w:t xml:space="preserve"> </w:t>
      </w:r>
      <w:r>
        <w:t xml:space="preserve">must be dependent on</w:t>
      </w:r>
      <w:r>
        <w:t xml:space="preserve"> </w:t>
      </w:r>
      <m:oMath>
        <m:sSup>
          <m:e>
            <m:r>
              <m:t>μ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</m:oMath>
      <w:r>
        <w:t xml:space="preserve">,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m:oMath>
        <m:sSup>
          <m:e>
            <m:r>
              <m:t>μ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. This ensures the markov chain property.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Y.school.mathscore</w:t>
      </w:r>
      <w:r>
        <w:br/>
      </w:r>
      <w:r>
        <w:br/>
      </w:r>
      <w:r>
        <w:rPr>
          <w:rStyle w:val="CommentTok"/>
        </w:rPr>
        <w:t xml:space="preserve"># Priors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eta0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NormalTok"/>
        </w:rPr>
        <w:t xml:space="preserve">g20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br/>
      </w:r>
      <w:r>
        <w:rPr>
          <w:rStyle w:val="CommentTok"/>
        </w:rPr>
        <w:t xml:space="preserve"># Number of schools. Y[, 1] are school ids</w:t>
      </w:r>
      <w:r>
        <w:br/>
      </w:r>
      <w:r>
        <w:rPr>
          <w:rStyle w:val="NormalTok"/>
        </w:rPr>
        <w:t xml:space="preserve">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]))</w:t>
      </w:r>
      <w:r>
        <w:br/>
      </w:r>
      <w:r>
        <w:br/>
      </w:r>
      <w:r>
        <w:rPr>
          <w:rStyle w:val="CommentTok"/>
        </w:rPr>
        <w:t xml:space="preserve"># Starting values - use sample mean and variance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 m)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m) {</w:t>
      </w:r>
      <w:r>
        <w:br/>
      </w:r>
      <w:r>
        <w:rPr>
          <w:rStyle w:val="NormalTok"/>
        </w:rPr>
        <w:t xml:space="preserve">  Y_j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j,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ybar[j]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(Y_j)</w:t>
      </w:r>
      <w:r>
        <w:br/>
      </w:r>
      <w:r>
        <w:rPr>
          <w:rStyle w:val="NormalTok"/>
        </w:rPr>
        <w:t xml:space="preserve">  sv[j]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(Y_j)</w:t>
      </w:r>
      <w:r>
        <w:br/>
      </w:r>
      <w:r>
        <w:rPr>
          <w:rStyle w:val="NormalTok"/>
        </w:rPr>
        <w:t xml:space="preserve">  n[j]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(Y_j)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 Let initial theta estimates be the sample means</w:t>
      </w:r>
      <w:r>
        <w:br/>
      </w:r>
      <w:r>
        <w:rPr>
          <w:rStyle w:val="CommentTok"/>
        </w:rPr>
        <w:t xml:space="preserve"># Similarly, let initial values of sigma2, mu, and tau2 be "sample mean and</w:t>
      </w:r>
      <w:r>
        <w:br/>
      </w:r>
      <w:r>
        <w:rPr>
          <w:rStyle w:val="CommentTok"/>
        </w:rPr>
        <w:t xml:space="preserve"># variance"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(sv)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tau2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(theta)</w:t>
      </w:r>
      <w:r>
        <w:br/>
      </w:r>
      <w:r>
        <w:br/>
      </w:r>
      <w:r>
        <w:rPr>
          <w:rStyle w:val="CommentTok"/>
        </w:rPr>
        <w:t xml:space="preserve"># MCMC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m)</w:t>
      </w:r>
      <w:r>
        <w:br/>
      </w:r>
      <w:r>
        <w:rPr>
          <w:rStyle w:val="CommentTok"/>
        </w:rPr>
        <w:t xml:space="preserve"># Storing sigma, mu, theta together</w:t>
      </w:r>
      <w:r>
        <w:br/>
      </w:r>
      <w:r>
        <w:rPr>
          <w:rStyle w:val="NormalTok"/>
        </w:rPr>
        <w:t xml:space="preserve">SMT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thetas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m) {</w:t>
      </w:r>
      <w:r>
        <w:br/>
      </w:r>
      <w:r>
        <w:rPr>
          <w:rStyle w:val="NormalTok"/>
        </w:rPr>
        <w:t xml:space="preserve">    vtheta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(n[j]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sigma2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tau2)</w:t>
      </w:r>
      <w:r>
        <w:br/>
      </w:r>
      <w:r>
        <w:rPr>
          <w:rStyle w:val="NormalTok"/>
        </w:rPr>
        <w:t xml:space="preserve">    etheta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vtheta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(ybar[j]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n[j]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sigma2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tau2)</w:t>
      </w:r>
      <w:r>
        <w:br/>
      </w:r>
      <w:r>
        <w:rPr>
          <w:rStyle w:val="NormalTok"/>
        </w:rPr>
        <w:t xml:space="preserve">    theta[j]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etheta,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(vtheta))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sigma2</w:t>
      </w:r>
      <w:r>
        <w:br/>
      </w:r>
      <w:r>
        <w:rPr>
          <w:rStyle w:val="NormalTok"/>
        </w:rPr>
        <w:t xml:space="preserve">  nun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(n) </w:t>
      </w:r>
      <w:r>
        <w:rPr>
          <w:rStyle w:val="CommentTok"/>
        </w:rPr>
        <w:t xml:space="preserve"># </w:t>
      </w:r>
      <w:r>
        <w:rPr>
          <w:rStyle w:val="AlertTok"/>
        </w:rPr>
        <w:t xml:space="preserve">TODO</w:t>
      </w:r>
      <w:r>
        <w:rPr>
          <w:rStyle w:val="CommentTok"/>
        </w:rPr>
        <w:t xml:space="preserve">: Could cache this</w:t>
      </w:r>
      <w:r>
        <w:br/>
      </w:r>
      <w:r>
        <w:rPr>
          <w:rStyle w:val="NormalTok"/>
        </w:rPr>
        <w:t xml:space="preserve">  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Pool variance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m) {</w:t>
      </w:r>
      <w:r>
        <w:br/>
      </w:r>
      <w:r>
        <w:rPr>
          <w:rStyle w:val="NormalTok"/>
        </w:rPr>
        <w:t xml:space="preserve">    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((Y[Y[,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j,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theta[j])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sigma2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mu</w:t>
      </w:r>
      <w:r>
        <w:br/>
      </w:r>
      <w:r>
        <w:rPr>
          <w:rStyle w:val="NormalTok"/>
        </w:rPr>
        <w:t xml:space="preserve">  vmu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g20)</w:t>
      </w:r>
      <w:r>
        <w:br/>
      </w:r>
      <w:r>
        <w:rPr>
          <w:rStyle w:val="NormalTok"/>
        </w:rPr>
        <w:t xml:space="preserve">  emu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vmu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(m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g20)</w:t>
      </w:r>
      <w:r>
        <w:br/>
      </w:r>
      <w:r>
        <w:rPr>
          <w:rStyle w:val="NormalTok"/>
        </w:rPr>
        <w:t xml:space="preserve">  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emu,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(vmu))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tau2</w:t>
      </w:r>
      <w:r>
        <w:br/>
      </w:r>
      <w:r>
        <w:rPr>
          <w:rStyle w:val="NormalTok"/>
        </w:rPr>
        <w:t xml:space="preserve">  etam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eta0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eta0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((theta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tau2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etam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Store params</w:t>
      </w:r>
      <w:r>
        <w:br/>
      </w:r>
      <w:r>
        <w:rPr>
          <w:rStyle w:val="NormalTok"/>
        </w:rPr>
        <w:t xml:space="preserve">  THETA[s,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SMT[s,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(sigma2, mu, tau2)</w:t>
      </w:r>
      <w:r>
        <w:br/>
      </w:r>
      <w:r>
        <w:rPr>
          <w:rStyle w:val="NormalTok"/>
        </w:rPr>
        <w:t xml:space="preserve">}</w:t>
      </w:r>
    </w:p>
    <w:bookmarkEnd w:id="250"/>
    <w:bookmarkStart w:id="251" w:name="mcmc-diagnostics"/>
    <w:p>
      <w:pPr>
        <w:pStyle w:val="Heading3"/>
      </w:pPr>
      <w:r>
        <w:t xml:space="preserve">4.1.2 MCMC diagnostics</w:t>
      </w:r>
    </w:p>
    <w:p>
      <w:pPr>
        <w:pStyle w:val="FirstParagraph"/>
      </w:pPr>
      <w:r>
        <w:t xml:space="preserve">The book mentions here that it’s important to check convergence of the Gibbs</w:t>
      </w:r>
      <w:r>
        <w:t xml:space="preserve"> </w:t>
      </w:r>
      <w:r>
        <w:t xml:space="preserve">sampler; this is not done here, but dividing the samples into groups of e.g. 500</w:t>
      </w:r>
      <w:r>
        <w:t xml:space="preserve"> </w:t>
      </w:r>
      <w:r>
        <w:t xml:space="preserve">samples, and ensuring that the mean values of the parameters don’t change too</w:t>
      </w:r>
      <w:r>
        <w:t xml:space="preserve"> </w:t>
      </w:r>
      <w:r>
        <w:t xml:space="preserve">much from group to group is a good way to check, at least for a manageable</w:t>
      </w:r>
      <w:r>
        <w:t xml:space="preserve"> </w:t>
      </w:r>
      <w:r>
        <w:t xml:space="preserve">number of parameters.</w:t>
      </w:r>
    </w:p>
    <w:bookmarkEnd w:id="251"/>
    <w:bookmarkEnd w:id="252"/>
    <w:bookmarkStart w:id="253" w:name="posterior-summaries-and-shrinkage"/>
    <w:p>
      <w:pPr>
        <w:pStyle w:val="Heading2"/>
      </w:pPr>
      <w:r>
        <w:t xml:space="preserve">4.2 Posterior summaries and shrinkage</w:t>
      </w:r>
    </w:p>
    <w:p>
      <w:pPr>
        <w:pStyle w:val="FirstParagraph"/>
      </w:pPr>
      <w:r>
        <w:t xml:space="preserve">Notice from the full conditional of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above that the expected value of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a weighted average of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which is specifically weighted by the sample size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. Since we assume that</w:t>
      </w:r>
      <w:r>
        <w:t xml:space="preserve"> </w:t>
      </w:r>
      <w:r>
        <w:t xml:space="preserve">there is some common mean</w:t>
      </w:r>
      <w:r>
        <w:t xml:space="preserve"> </w:t>
      </w:r>
      <m:oMath>
        <m:r>
          <m:t>μ</m:t>
        </m:r>
      </m:oMath>
      <w:r>
        <w:t xml:space="preserve">, our estimate of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gets pulled slightly</w:t>
      </w:r>
      <w:r>
        <w:t xml:space="preserve"> </w:t>
      </w:r>
      <w:r>
        <w:t xml:space="preserve">towards that common parameter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- less so for high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. This demonstrates</w:t>
      </w:r>
      <w:r>
        <w:t xml:space="preserve"> </w:t>
      </w:r>
      <w:r>
        <w:t xml:space="preserve">the phonemonon of</w:t>
      </w:r>
      <w:r>
        <w:t xml:space="preserve"> </w:t>
      </w:r>
      <w:r>
        <w:rPr>
          <w:i/>
          <w:iCs/>
        </w:rPr>
        <w:t xml:space="preserve">shrinkage</w:t>
      </w:r>
      <w:r>
        <w:t xml:space="preserve">, where information is shared across groups in this</w:t>
      </w:r>
      <w:r>
        <w:t xml:space="preserve"> </w:t>
      </w:r>
      <w:r>
        <w:t xml:space="preserve">hierarchical model.</w:t>
      </w:r>
    </w:p>
    <w:p>
      <w:pPr>
        <w:pStyle w:val="BodyText"/>
      </w:pPr>
      <w:r>
        <w:t xml:space="preserve">Again, for high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, however, the effect of this shrinkage is neglegible.</w:t>
      </w:r>
    </w:p>
    <w:p>
      <w:pPr>
        <w:pStyle w:val="BodyText"/>
      </w:pPr>
      <w:r>
        <w:t xml:space="preserve">Shrinkage results in some interesting phenomena. For example, look at schools 82</w:t>
      </w:r>
      <w:r>
        <w:t xml:space="preserve"> </w:t>
      </w:r>
      <w:r>
        <w:t xml:space="preserve">and 46 in our dataset.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(THETA[, </w:t>
      </w:r>
      <w:r>
        <w:rPr>
          <w:rStyle w:val="DecValTok"/>
        </w:rPr>
        <w:t xml:space="preserve">82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[1] 42.48336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(THETA[, </w:t>
      </w:r>
      <w:r>
        <w:rPr>
          <w:rStyle w:val="DecValTok"/>
        </w:rPr>
        <w:t xml:space="preserve">46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[1] 41.31501</w:t>
      </w:r>
      <w:r>
        <w:br/>
      </w:r>
      <w:r>
        <w:rPr>
          <w:rStyle w:val="NormalTok"/>
        </w:rPr>
        <w:t xml:space="preserve">ybar[</w:t>
      </w:r>
      <w:r>
        <w:rPr>
          <w:rStyle w:val="DecValTok"/>
        </w:rPr>
        <w:t xml:space="preserve">82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#&gt; [1] 38.764</w:t>
      </w:r>
      <w:r>
        <w:br/>
      </w:r>
      <w:r>
        <w:rPr>
          <w:rStyle w:val="NormalTok"/>
        </w:rPr>
        <w:t xml:space="preserve">ybar[</w:t>
      </w:r>
      <w:r>
        <w:rPr>
          <w:rStyle w:val="DecValTok"/>
        </w:rPr>
        <w:t xml:space="preserve">46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#&gt; [1] 40.17619</w:t>
      </w:r>
    </w:p>
    <w:p>
      <w:pPr>
        <w:pStyle w:val="FirstParagraph"/>
      </w:pPr>
      <w:r>
        <w:t xml:space="preserve">Even though the sample mean of school 82 is lower than school 46, the posterior</w:t>
      </w:r>
      <w:r>
        <w:t xml:space="preserve"> </w:t>
      </w:r>
      <w:r>
        <w:t xml:space="preserve">expectation of</w:t>
      </w:r>
      <w:r>
        <w:t xml:space="preserve"> </w:t>
      </w:r>
      <m:oMath>
        <m:sSub>
          <m:e>
            <m:r>
              <m:t>θ</m:t>
            </m:r>
          </m:e>
          <m:sub>
            <m:r>
              <m:t>82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higher</w:t>
      </w:r>
      <w:r>
        <w:t xml:space="preserve"> </w:t>
      </w:r>
      <w:r>
        <w:t xml:space="preserve">than</w:t>
      </w:r>
      <w:r>
        <w:t xml:space="preserve"> </w:t>
      </w:r>
      <m:oMath>
        <m:sSub>
          <m:e>
            <m:r>
              <m:t>θ</m:t>
            </m:r>
          </m:e>
          <m:sub>
            <m:r>
              <m:t>46</m:t>
            </m:r>
          </m:sub>
        </m:sSub>
      </m:oMath>
      <w:r>
        <w:t xml:space="preserve">, because school 82 has a</w:t>
      </w:r>
      <w:r>
        <w:t xml:space="preserve"> </w:t>
      </w:r>
      <w:r>
        <w:t xml:space="preserve">very small sample and thus is affected more by a pull towards</w:t>
      </w:r>
      <w:r>
        <w:t xml:space="preserve"> </w:t>
      </w:r>
      <m:oMath>
        <m:r>
          <m:t>μ</m:t>
        </m:r>
      </m:oMath>
      <w:r>
        <w:t xml:space="preserve">. While this</w:t>
      </w:r>
      <w:r>
        <w:t xml:space="preserve"> </w:t>
      </w:r>
      <w:r>
        <w:t xml:space="preserve">may seem counterintuitive, the explanation is that there is more evidence that</w:t>
      </w:r>
      <w:r>
        <w:t xml:space="preserve"> </w:t>
      </w:r>
      <m:oMath>
        <m:sSub>
          <m:e>
            <m:r>
              <m:t>θ</m:t>
            </m:r>
          </m:e>
          <m:sub>
            <m:r>
              <m:t>46</m:t>
            </m:r>
          </m:sub>
        </m:sSub>
      </m:oMath>
      <w:r>
        <w:t xml:space="preserve"> </w:t>
      </w:r>
      <w:r>
        <w:t xml:space="preserve">is low than there is</w:t>
      </w:r>
      <w:r>
        <w:t xml:space="preserve"> </w:t>
      </w:r>
      <m:oMath>
        <m:sSub>
          <m:e>
            <m:r>
              <m:t>θ</m:t>
            </m:r>
          </m:e>
          <m:sub>
            <m:r>
              <m:t>82</m:t>
            </m:r>
          </m:sub>
        </m:sSub>
      </m:oMath>
      <w:r>
        <w:t xml:space="preserve"> </w:t>
      </w:r>
      <w:r>
        <w:t xml:space="preserve">is low due to the wide</w:t>
      </w:r>
      <w:r>
        <w:t xml:space="preserve"> </w:t>
      </w:r>
      <w:r>
        <w:t xml:space="preserve">discrepancy in sample sizes. The assumption that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stem from one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then, takes a</w:t>
      </w:r>
      <w:r>
        <w:t xml:space="preserve"> </w:t>
      </w:r>
      <w:r>
        <w:t xml:space="preserve">“conservative”</w:t>
      </w:r>
      <w:r>
        <w:t xml:space="preserve"> </w:t>
      </w:r>
      <w:r>
        <w:t xml:space="preserve">approach to estimating the</w:t>
      </w:r>
      <w:r>
        <w:t xml:space="preserve"> </w:t>
      </w:r>
      <m:oMath>
        <m:sSub>
          <m:e>
            <m:r>
              <m:t>θ</m:t>
            </m:r>
          </m:e>
          <m:sub>
            <m:r>
              <m:t>82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r>
        <w:t xml:space="preserve">little data.</w:t>
      </w:r>
    </w:p>
    <w:bookmarkEnd w:id="253"/>
    <w:bookmarkEnd w:id="254"/>
    <w:bookmarkStart w:id="256" w:name="Xfc4a130e453fc484a102e291f4ee7e1178f626f"/>
    <w:p>
      <w:pPr>
        <w:pStyle w:val="Heading1"/>
      </w:pPr>
      <w:r>
        <w:t xml:space="preserve">5. Hierarchical modeling of means and variances</w:t>
      </w:r>
    </w:p>
    <w:p>
      <w:pPr>
        <w:pStyle w:val="FirstParagraph"/>
      </w:pPr>
      <w:r>
        <w:t xml:space="preserve">The previous model assumed common variance within groups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 This is</w:t>
      </w:r>
      <w:r>
        <w:t xml:space="preserve"> </w:t>
      </w:r>
      <w:r>
        <w:t xml:space="preserve">actually fairly common, perhaps less because of empirical justification for</w:t>
      </w:r>
      <w:r>
        <w:t xml:space="preserve"> </w:t>
      </w:r>
      <w:r>
        <w:t xml:space="preserve">assuming common within-group variance than lack of interest in the variance of</w:t>
      </w:r>
      <w:r>
        <w:t xml:space="preserve"> </w:t>
      </w:r>
      <w:r>
        <w:t xml:space="preserve">the groups. But of course, the inaccuracy of this assumption could result in</w:t>
      </w:r>
      <w:r>
        <w:t xml:space="preserve"> </w:t>
      </w:r>
      <w:r>
        <w:t xml:space="preserve">errors in analysis. It’s fairly straightforward to simply add another</w:t>
      </w:r>
      <w:r>
        <w:t xml:space="preserve"> </w:t>
      </w:r>
      <w:r>
        <w:t xml:space="preserve">hierarchical layer for the variance too, and jointly estimate the group-specific</w:t>
      </w:r>
      <w:r>
        <w:t xml:space="preserve"> </w:t>
      </w:r>
      <w:r>
        <w:t xml:space="preserve">means and variances, as well as the common mean and variance parameters.</w:t>
      </w:r>
    </w:p>
    <w:p>
      <w:pPr>
        <w:pStyle w:val="BodyText"/>
      </w:pPr>
      <w:r>
        <w:t xml:space="preserve">To implement this, we let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depend on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(new!) a</w:t>
      </w:r>
      <w:r>
        <w:t xml:space="preserve"> </w:t>
      </w:r>
      <w:r>
        <w:t xml:space="preserve">group</w:t>
      </w:r>
      <w:r>
        <w:t xml:space="preserve"> </w:t>
      </w:r>
      <m:oMath>
        <m:r>
          <m:t>j</m:t>
        </m:r>
      </m:oMath>
      <w:r>
        <w:t xml:space="preserve">-specific</w:t>
      </w:r>
      <w:r>
        <w:t xml:space="preserve"> </w:t>
      </w:r>
      <m:oMath>
        <m:sSubSup>
          <m:e>
            <m:r>
              <m:t>σ</m:t>
            </m:r>
          </m:e>
          <m:sub>
            <m:r>
              <m:t>j</m:t>
            </m:r>
          </m:sub>
          <m:sup>
            <m:r>
              <m:t>2</m:t>
            </m:r>
          </m:sup>
        </m:sSubSup>
      </m:oMath>
      <w:r>
        <w:t xml:space="preserve">, so our full conditional distribution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∣</m:t>
          </m:r>
          <m:sSub>
            <m:e>
              <m:r>
                <m:rPr>
                  <m:sty m:val="b"/>
                </m:rPr>
                <m:t>y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,</m:t>
          </m:r>
          <m:sSubSup>
            <m:e>
              <m:r>
                <m:t>σ</m:t>
              </m:r>
            </m:e>
            <m:sub>
              <m:r>
                <m:t>j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∼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n</m:t>
                      </m:r>
                    </m:e>
                    <m:sub>
                      <m:r>
                        <m:t>j</m:t>
                      </m:r>
                    </m:sub>
                  </m:sSub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/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j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/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j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,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j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sSup>
                        <m:e>
                          <m:r>
                            <m:t>τ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similarly, above we had a rather special case of the full conditional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 Since there was one common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the posterior was based on a</w:t>
      </w:r>
      <w:r>
        <w:t xml:space="preserve"> </w:t>
      </w:r>
      <w:r>
        <w:t xml:space="preserve">combination of the prior precision and the pooled sample variance. Now let’s</w:t>
      </w:r>
      <w:r>
        <w:t xml:space="preserve"> </w:t>
      </w:r>
      <w:r>
        <w:t xml:space="preserve">assume that we have a separate</w:t>
      </w:r>
      <w:r>
        <w:t xml:space="preserve"> </w:t>
      </w:r>
      <m:oMath>
        <m:sSubSup>
          <m:e>
            <m:r>
              <m:t>σ</m:t>
            </m:r>
          </m:e>
          <m:sub>
            <m:r>
              <m:t>j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for each group: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σ</m:t>
              </m:r>
            </m:e>
            <m:sub>
              <m:r>
                <m:t>1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Sup>
            <m:e>
              <m:r>
                <m:t>σ</m:t>
              </m:r>
            </m:e>
            <m:sub>
              <m:r>
                <m:t>m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∼</m:t>
          </m:r>
          <m:r>
            <m:rPr>
              <m:nor/>
              <m:sty m:val="p"/>
            </m:rPr>
            <m:t>i.i.d.</m:t>
          </m:r>
          <m:r>
            <m:t> 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σ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Now that we’re including individual</w:t>
      </w:r>
      <w:r>
        <w:t xml:space="preserve"> </w:t>
      </w:r>
      <m:oMath>
        <m:sSubSup>
          <m:e>
            <m:r>
              <m:t>σ</m:t>
            </m:r>
          </m:e>
          <m:sub>
            <m:r>
              <m:t>j</m:t>
            </m:r>
          </m:sub>
          <m:sup>
            <m:r>
              <m:t>2</m:t>
            </m:r>
          </m:sup>
        </m:sSubSup>
      </m:oMath>
      <w:r>
        <w:t xml:space="preserve">, re-deriving the full</w:t>
      </w:r>
      <w:r>
        <w:t xml:space="preserve"> </w:t>
      </w:r>
      <w:r>
        <w:t xml:space="preserve">conditional for</w:t>
      </w:r>
      <w:r>
        <w:t xml:space="preserve"> </w:t>
      </w:r>
      <m:oMath>
        <m:sSubSup>
          <m:e>
            <m:r>
              <m:t>σ</m:t>
            </m:r>
          </m:e>
          <m:sub>
            <m:r>
              <m:t>j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results in full conditional distributions that look</w:t>
      </w:r>
      <w:r>
        <w:t xml:space="preserve"> </w:t>
      </w:r>
      <w:r>
        <w:t xml:space="preserve">just like the one-parameter case for variance (and the corresponding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conditionals for the means):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σ</m:t>
              </m:r>
            </m:e>
            <m:sub>
              <m:r>
                <m:t>j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∣</m:t>
          </m:r>
          <m:sSub>
            <m:e>
              <m:r>
                <m:rPr>
                  <m:sty m:val="b"/>
                </m:rPr>
                <m:t>y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,</m:t>
          </m:r>
          <m:sSub>
            <m:e>
              <m:r>
                <m:t>θ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∼</m:t>
          </m:r>
          <m:r>
            <m:rPr>
              <m:nor/>
              <m:sty m:val="p"/>
            </m:rPr>
            <m:t>inverse-gamma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ν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ν</m:t>
                      </m:r>
                    </m:e>
                    <m:sub>
                      <m:r>
                        <m:t>0</m:t>
                      </m:r>
                    </m:sub>
                  </m:sSub>
                  <m:sSubSup>
                    <m:e>
                      <m:r>
                        <m:t>σ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,</m:t>
                                  </m:r>
                                  <m:r>
                                    <m:t>j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θ</m:t>
                                  </m:r>
                                </m:e>
                                <m:sub>
                                  <m:r>
                                    <m:t>j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  <m:r>
                <m:rPr>
                  <m:sty m:val="p"/>
                </m:rPr>
                <m:t>/</m:t>
              </m:r>
              <m:r>
                <m:t>2</m:t>
              </m:r>
            </m:e>
          </m:d>
        </m:oMath>
      </m:oMathPara>
    </w:p>
    <w:p>
      <w:pPr>
        <w:pStyle w:val="FirstParagraph"/>
      </w:pPr>
      <w:r>
        <w:t xml:space="preserve">Now in the same way that we learn the group-specific parameters</w:t>
      </w:r>
      <w:r>
        <w:t xml:space="preserve"> </w:t>
      </w:r>
      <m:oMath>
        <m:r>
          <m:t>μ</m:t>
        </m:r>
        <m:r>
          <m:rPr>
            <m:sty m:val="p"/>
          </m:rPr>
          <m:t>,</m:t>
        </m:r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using prior distributions with hyperparameters</w:t>
      </w:r>
      <w:r>
        <w:t xml:space="preserve"> </w:t>
      </w:r>
      <m:oMath>
        <m:sSub>
          <m:e>
            <m:r>
              <m:t>η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Sup>
          <m:e>
            <m:r>
              <m:t>γ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, we should learn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with prior distributions.</w:t>
      </w:r>
    </w:p>
    <w:p>
      <w:pPr>
        <w:pStyle w:val="BodyText"/>
      </w:pPr>
      <w:r>
        <w:t xml:space="preserve">Since we are modeling variances, we let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 </w:t>
      </w:r>
      <w:r>
        <w:t xml:space="preserve">such that the posterior is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σ</m:t>
              </m:r>
            </m:e>
            <m:sub>
              <m:r>
                <m:t>0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∣</m:t>
          </m:r>
          <m:sSubSup>
            <m:e>
              <m:r>
                <m:t>σ</m:t>
              </m:r>
            </m:e>
            <m:sub>
              <m:r>
                <m:t>1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Sup>
            <m:e>
              <m:r>
                <m:t>σ</m:t>
              </m:r>
            </m:e>
            <m:sub>
              <m:r>
                <m:t>m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,</m:t>
          </m:r>
          <m:sSub>
            <m:e>
              <m:r>
                <m:t>ν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∼</m:t>
          </m:r>
          <m:r>
            <m:rPr>
              <m:nor/>
              <m:sty m:val="p"/>
            </m:rPr>
            <m:t>gamma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m</m:t>
              </m:r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j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</m:e>
              </m:nary>
            </m:e>
          </m:d>
        </m:oMath>
      </m:oMathPara>
    </w:p>
    <w:p>
      <w:pPr>
        <w:pStyle w:val="FirstParagraph"/>
      </w:pPr>
      <w:r>
        <w:t xml:space="preserve">Lastly, there is no simple conjugate prior for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unless we restrict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 be a whole number. If we let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geometric</m:t>
        </m:r>
        <m:d>
          <m:dPr>
            <m:begChr m:val="("/>
            <m:sepChr m:val=""/>
            <m:endChr m:val=")"/>
            <m:grow/>
          </m:dPr>
          <m:e>
            <m:r>
              <m:t>α</m:t>
            </m:r>
          </m:e>
        </m:d>
      </m:oMath>
      <w:r>
        <w:t xml:space="preserve">,</w:t>
      </w:r>
      <w:r>
        <w:t xml:space="preserve"> </w:t>
      </w:r>
      <w:r>
        <w:t xml:space="preserve">then (as the discrete analog of the exponential distribution)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∼</m:t>
        </m:r>
        <m:r>
          <m:rPr>
            <m:nor/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α</m:t>
            </m:r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and the full conditional distribution of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can be shown to be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∣</m:t>
              </m:r>
              <m:sSubSup>
                <m:e>
                  <m:r>
                    <m:t>σ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σ</m:t>
                  </m:r>
                </m:e>
                <m:sub>
                  <m:r>
                    <m:t>m</m:t>
                  </m:r>
                </m:sub>
                <m:sup>
                  <m:r>
                    <m:t>2</m:t>
                  </m:r>
                </m:sup>
              </m:sSubSup>
            </m:e>
          </m:d>
          <m:r>
            <m:rPr>
              <m:sty m:val="p"/>
            </m:rPr>
            <m:t>∝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Sup>
                                <m:e>
                                  <m:r>
                                    <m:t>σ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  <m:sSub>
                                <m:e>
                                  <m:r>
                                    <m:t>ν</m:t>
                                  </m:r>
                                </m:e>
                                <m:sub>
                                  <m:r>
                                    <m:t>0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/</m:t>
                              </m:r>
                              <m:r>
                                <m:t>2</m:t>
                              </m:r>
                            </m:e>
                          </m:d>
                        </m:e>
                        <m:sup>
                          <m:sSub>
                            <m:e>
                              <m:r>
                                <m:t>ν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/</m:t>
                          </m:r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Γ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ν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/</m:t>
                          </m:r>
                          <m:r>
                            <m:t>2</m:t>
                          </m:r>
                        </m:e>
                      </m:d>
                    </m:den>
                  </m:f>
                </m:e>
              </m:d>
            </m:e>
            <m:sup>
              <m:r>
                <m:t>m</m:t>
              </m:r>
            </m:sup>
          </m:sSup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nary>
                </m:e>
              </m:d>
            </m:e>
            <m:sup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×</m:t>
          </m:r>
          <m:r>
            <m:rPr>
              <m:nor/>
              <m:sty m:val="p"/>
            </m:rPr>
            <m:t>exp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sSub>
                <m:e>
                  <m:r>
                    <m:t>ν</m:t>
                  </m:r>
                </m:e>
                <m:sub>
                  <m:r>
                    <m:t>0</m:t>
                  </m:r>
                </m:sub>
              </m:sSub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α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bSup>
                    <m:e>
                      <m:r>
                        <m:t>σ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</m:sSub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nary>
                </m:e>
              </m:d>
            </m:e>
          </m:d>
        </m:oMath>
      </m:oMathPara>
    </w:p>
    <w:bookmarkStart w:id="255" w:name="analysis-of-math-score-data"/>
    <w:p>
      <w:pPr>
        <w:pStyle w:val="Heading2"/>
      </w:pPr>
      <w:r>
        <w:t xml:space="preserve">5.1 Analysis of math score data</w:t>
      </w:r>
    </w:p>
    <w:p>
      <w:pPr>
        <w:pStyle w:val="FirstParagraph"/>
      </w:pPr>
      <w:r>
        <w:t xml:space="preserve">For brevity, the analysis is not reproduced here as there aren’t too many</w:t>
      </w:r>
      <w:r>
        <w:t xml:space="preserve"> </w:t>
      </w:r>
      <w:r>
        <w:t xml:space="preserve">conclusions drawn - the point is just that you can let the variance vary across</w:t>
      </w:r>
      <w:r>
        <w:t xml:space="preserve"> </w:t>
      </w:r>
      <w:r>
        <w:t xml:space="preserve">groups.</w:t>
      </w:r>
    </w:p>
    <w:bookmarkEnd w:id="255"/>
    <w:bookmarkEnd w:id="256"/>
    <w:bookmarkStart w:id="280" w:name="exercises"/>
    <w:p>
      <w:pPr>
        <w:pStyle w:val="Heading1"/>
      </w:pPr>
      <w:r>
        <w:t xml:space="preserve">6. Exercises</w:t>
      </w:r>
    </w:p>
    <w:bookmarkStart w:id="261" w:name="section"/>
    <w:p>
      <w:pPr>
        <w:pStyle w:val="Heading2"/>
      </w:pPr>
      <w:r>
        <w:t xml:space="preserve">6.1 8.1</w:t>
      </w:r>
    </w:p>
    <w:bookmarkStart w:id="257" w:name="a"/>
    <w:p>
      <w:pPr>
        <w:pStyle w:val="Heading3"/>
      </w:pPr>
      <w:r>
        <w:t xml:space="preserve">6.1.1 a</w:t>
      </w:r>
    </w:p>
    <w:p>
      <w:pPr>
        <w:pStyle w:val="FirstParagraph"/>
      </w:pPr>
      <w:r>
        <w:t xml:space="preserve">The expectation is that</w:t>
      </w:r>
      <w:r>
        <w:t xml:space="preserve"> </w:t>
      </w: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,</m:t>
                </m:r>
                <m:r>
                  <m:t>j</m:t>
                </m:r>
              </m:sub>
            </m:sSub>
            <m:r>
              <m:rPr>
                <m:sty m:val="p"/>
              </m:rPr>
              <m:t>∣</m:t>
            </m:r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will be bigger since it includes</w:t>
      </w:r>
      <w:r>
        <w:t xml:space="preserve"> </w:t>
      </w:r>
      <w:r>
        <w:t xml:space="preserve">both within- and between-group sampling variability.</w:t>
      </w:r>
    </w:p>
    <w:bookmarkEnd w:id="257"/>
    <w:bookmarkStart w:id="258" w:name="b"/>
    <w:p>
      <w:pPr>
        <w:pStyle w:val="Heading3"/>
      </w:pPr>
      <w:r>
        <w:t xml:space="preserve">6.1.2 b</w:t>
      </w:r>
    </w:p>
    <w:p>
      <w:pPr>
        <w:pStyle w:val="FirstParagraph"/>
      </w:pPr>
      <m:oMath>
        <m:r>
          <m:rPr>
            <m:nor/>
            <m:sty m:val="p"/>
          </m:rPr>
          <m:t>Cov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sSub>
                  <m:e>
                    <m:r>
                      <m:t>i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j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sSub>
                  <m:e>
                    <m:r>
                      <m:t>i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j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is expected to be zero</w:t>
      </w:r>
      <w:r>
        <w:t xml:space="preserve"> </w:t>
      </w:r>
      <w:r>
        <w:t xml:space="preserve">because, according to exchangeability,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 </w:t>
      </w:r>
      <w:r>
        <w:t xml:space="preserve">are conditionally i.i.d.</w:t>
      </w:r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known.</w:t>
      </w:r>
    </w:p>
    <w:p>
      <w:pPr>
        <w:pStyle w:val="BodyText"/>
      </w:pPr>
      <w:r>
        <w:t xml:space="preserve">On the other hand, given the model, knowing about another</w:t>
      </w:r>
      <w:r>
        <w:t xml:space="preserve"> </w:t>
      </w:r>
      <m:oMath>
        <m:sSub>
          <m:e>
            <m:r>
              <m:t>y</m:t>
            </m:r>
          </m:e>
          <m:sub>
            <m:sSub>
              <m:e>
                <m:r>
                  <m:t>i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appear to provide more information about</w:t>
      </w:r>
      <w:r>
        <w:t xml:space="preserve"> </w:t>
      </w:r>
      <m:oMath>
        <m:sSub>
          <m:e>
            <m:r>
              <m:t>y</m:t>
            </m:r>
          </m:e>
          <m:sub>
            <m:sSub>
              <m:e>
                <m:r>
                  <m:t>i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, and they are expected to</w:t>
      </w:r>
      <w:r>
        <w:t xml:space="preserve"> </w:t>
      </w:r>
      <w:r>
        <w:t xml:space="preserve">covary positively with each other. Specifically,</w:t>
      </w:r>
      <w:r>
        <w:t xml:space="preserve"> </w:t>
      </w:r>
      <m:oMath>
        <m:sSub>
          <m:e>
            <m:r>
              <m:t>y</m:t>
            </m:r>
          </m:e>
          <m:sub>
            <m:sSub>
              <m:e>
                <m:r>
                  <m:t>i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 </w:t>
      </w:r>
      <w:r>
        <w:t xml:space="preserve">seems to give more</w:t>
      </w:r>
      <w:r>
        <w:t xml:space="preserve"> </w:t>
      </w:r>
      <w:r>
        <w:t xml:space="preserve">information about what the mean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is, and values from the</w:t>
      </w:r>
      <w:r>
        <w:t xml:space="preserve"> </w:t>
      </w:r>
      <w:r>
        <w:t xml:space="preserve">same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expected to be closer together (due to decreased variability). A more</w:t>
      </w:r>
      <w:r>
        <w:t xml:space="preserve"> </w:t>
      </w:r>
      <w:r>
        <w:t xml:space="preserve">formal mathematical justification cannot be provided here.</w:t>
      </w:r>
    </w:p>
    <w:bookmarkEnd w:id="258"/>
    <w:bookmarkStart w:id="259" w:name="c"/>
    <w:p>
      <w:pPr>
        <w:pStyle w:val="Heading3"/>
      </w:pPr>
      <w:r>
        <w:t xml:space="preserve">6.1.3 c</w:t>
      </w:r>
    </w:p>
    <w:p>
      <w:pPr>
        <w:pStyle w:val="FirstParagraph"/>
      </w:pPr>
    </w:p>
    <w:p>
      <w:pPr>
        <w:pStyle w:val="BodyText"/>
      </w:pPr>
      <w:r>
        <w:t xml:space="preserve">These values indeed align with the intuitions above. The values for the</w:t>
      </w:r>
      <w:r>
        <w:t xml:space="preserve"> </w:t>
      </w:r>
      <w:r>
        <w:t xml:space="preserve">variances and covariances with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unknown are simply those for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known plus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, the between-group sampling variability.</w:t>
      </w:r>
    </w:p>
    <w:bookmarkEnd w:id="259"/>
    <w:bookmarkStart w:id="260" w:name="d"/>
    <w:p>
      <w:pPr>
        <w:pStyle w:val="Heading3"/>
      </w:pPr>
      <w:r>
        <w:t xml:space="preserve">6.1.4 d</w:t>
      </w:r>
    </w:p>
    <w:p>
      <w:pPr>
        <w:pStyle w:val="FirstParagraph"/>
      </w:pPr>
      <w:r>
        <w:t xml:space="preserve">For convenience let</w:t>
      </w:r>
      <w:r>
        <w:t xml:space="preserve"> </w:t>
      </w:r>
      <m:oMath>
        <m:r>
          <m:rPr>
            <m:sty m:val="p"/>
            <m:scr m:val="script"/>
          </m:rPr>
          <m:t>D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m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θ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m</m:t>
            </m:r>
          </m:sub>
        </m:sSub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Also, if we treat the model as a Bayes’ net, we can use factorization to quickly</w:t>
      </w:r>
      <w:r>
        <w:t xml:space="preserve"> </w:t>
      </w:r>
      <w:r>
        <w:t xml:space="preserve">extract the conditional independencies: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P</m:t>
            </m:r>
          </m:e>
        </m:nary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∣</m:t>
            </m:r>
            <m:r>
              <m:rPr>
                <m:nor/>
                <m:sty m:val="p"/>
              </m:rPr>
              <m:t>Pa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e>
            </m:d>
          </m:e>
        </m:d>
      </m:oMath>
      <w:r>
        <w:t xml:space="preserve"> </w:t>
      </w:r>
      <w:r>
        <w:t xml:space="preserve">where</w:t>
      </w:r>
      <w:r>
        <w:t xml:space="preserve"> </w:t>
      </w:r>
      <m:oMath>
        <m:r>
          <m:rPr>
            <m:nor/>
            <m:sty m:val="p"/>
          </m:rPr>
          <m:t>Pa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are the parents of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</w:p>
    <w:p>
      <w:pPr>
        <w:pStyle w:val="BodyText"/>
      </w:pPr>
      <w:r>
        <w:t xml:space="preserve">This means that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does not depend on the data (or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) once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are known; another example of conditional</w:t>
      </w:r>
      <w:r>
        <w:t xml:space="preserve"> </w:t>
      </w:r>
      <w:r>
        <w:t xml:space="preserve">independence induced by the Bayes network.</w:t>
      </w:r>
    </w:p>
    <w:bookmarkEnd w:id="260"/>
    <w:bookmarkEnd w:id="261"/>
    <w:bookmarkStart w:id="279" w:name="section-1"/>
    <w:p>
      <w:pPr>
        <w:pStyle w:val="Heading2"/>
      </w:pPr>
      <w:r>
        <w:t xml:space="preserve">6.2 8.3</w:t>
      </w:r>
    </w:p>
    <w:bookmarkStart w:id="265" w:name="a-1"/>
    <w:p>
      <w:pPr>
        <w:pStyle w:val="Heading3"/>
      </w:pPr>
      <w:r>
        <w:t xml:space="preserve">6.2.1 a</w:t>
      </w:r>
    </w:p>
    <w:p>
      <w:pPr>
        <w:pStyle w:val="SourceCode"/>
      </w:pPr>
      <w:r>
        <w:rPr>
          <w:rStyle w:val="CommentTok"/>
        </w:rPr>
        <w:t xml:space="preserve"># Load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</w:t>
      </w:r>
      <w:r>
        <w:br/>
      </w:r>
      <w:r>
        <w:rPr>
          <w:rStyle w:val="NormalTok"/>
        </w:rPr>
        <w:t xml:space="preserve">schools.list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(i) {</w:t>
      </w:r>
      <w:r>
        <w:br/>
      </w:r>
      <w:r>
        <w:rPr>
          <w:rStyle w:val="NormalTok"/>
        </w:rPr>
        <w:t xml:space="preserve">  s.tbl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'Exercises/school'</w:t>
      </w:r>
      <w:r>
        <w:rPr>
          <w:rStyle w:val="NormalTok"/>
        </w:rPr>
        <w:t xml:space="preserve">, i, </w:t>
      </w:r>
      <w:r>
        <w:rPr>
          <w:rStyle w:val="StringTok"/>
        </w:rPr>
        <w:t xml:space="preserve">'.dat'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  read.table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school =</w:t>
      </w:r>
      <w:r>
        <w:rPr>
          <w:rStyle w:val="NormalTok"/>
        </w:rPr>
        <w:t xml:space="preserve"> i,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hours =</w:t>
      </w:r>
      <w:r>
        <w:rPr>
          <w:rStyle w:val="NormalTok"/>
        </w:rPr>
        <w:t xml:space="preserve"> s.tbl[,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as.numeric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schools.raw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schools.list)</w:t>
      </w:r>
      <w:r>
        <w:br/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schools.raw</w:t>
      </w:r>
      <w:r>
        <w:br/>
      </w:r>
      <w:r>
        <w:br/>
      </w:r>
      <w:r>
        <w:br/>
      </w:r>
      <w:r>
        <w:rPr>
          <w:rStyle w:val="CommentTok"/>
        </w:rPr>
        <w:t xml:space="preserve"># Prior</w:t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br/>
      </w:r>
      <w:r>
        <w:rPr>
          <w:rStyle w:val="NormalTok"/>
        </w:rPr>
        <w:t xml:space="preserve">g20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t20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eta0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CommentTok"/>
        </w:rPr>
        <w:t xml:space="preserve"># Number of schools. Y[, 1] are school ids</w:t>
      </w:r>
      <w:r>
        <w:br/>
      </w:r>
      <w:r>
        <w:rPr>
          <w:rStyle w:val="NormalTok"/>
        </w:rPr>
        <w:t xml:space="preserve">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]))</w:t>
      </w:r>
      <w:r>
        <w:br/>
      </w:r>
      <w:r>
        <w:br/>
      </w:r>
      <w:r>
        <w:rPr>
          <w:rStyle w:val="CommentTok"/>
        </w:rPr>
        <w:t xml:space="preserve"># Starting values - use sample mean and variance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 m)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m) {</w:t>
      </w:r>
      <w:r>
        <w:br/>
      </w:r>
      <w:r>
        <w:rPr>
          <w:rStyle w:val="NormalTok"/>
        </w:rPr>
        <w:t xml:space="preserve">  Y_j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j,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ybar[j]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(Y_j)</w:t>
      </w:r>
      <w:r>
        <w:br/>
      </w:r>
      <w:r>
        <w:rPr>
          <w:rStyle w:val="NormalTok"/>
        </w:rPr>
        <w:t xml:space="preserve">  sv[j]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(Y_j)</w:t>
      </w:r>
      <w:r>
        <w:br/>
      </w:r>
      <w:r>
        <w:rPr>
          <w:rStyle w:val="NormalTok"/>
        </w:rPr>
        <w:t xml:space="preserve">  n[j]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(Y_j)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Let initial theta estimates be the sample means</w:t>
      </w:r>
      <w:r>
        <w:br/>
      </w:r>
      <w:r>
        <w:rPr>
          <w:rStyle w:val="CommentTok"/>
        </w:rPr>
        <w:t xml:space="preserve"># Similarly, let initial values of sigma2, mu, and tau2 be "sample mean and</w:t>
      </w:r>
      <w:r>
        <w:br/>
      </w:r>
      <w:r>
        <w:rPr>
          <w:rStyle w:val="CommentTok"/>
        </w:rPr>
        <w:t xml:space="preserve"># variance"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(sv)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tau2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(theta)</w:t>
      </w:r>
      <w:r>
        <w:br/>
      </w:r>
      <w:r>
        <w:br/>
      </w:r>
      <w:r>
        <w:rPr>
          <w:rStyle w:val="CommentTok"/>
        </w:rPr>
        <w:t xml:space="preserve"># MCMC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1500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m)</w:t>
      </w:r>
      <w:r>
        <w:br/>
      </w:r>
      <w:r>
        <w:rPr>
          <w:rStyle w:val="CommentTok"/>
        </w:rPr>
        <w:t xml:space="preserve"># Storing sigma, mu, theta together</w:t>
      </w:r>
      <w:r>
        <w:br/>
      </w:r>
      <w:r>
        <w:rPr>
          <w:rStyle w:val="NormalTok"/>
        </w:rPr>
        <w:t xml:space="preserve">SMT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(SMT)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'sigma2'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'mu'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'tau2'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thetas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m) {</w:t>
      </w:r>
      <w:r>
        <w:br/>
      </w:r>
      <w:r>
        <w:rPr>
          <w:rStyle w:val="NormalTok"/>
        </w:rPr>
        <w:t xml:space="preserve">    vtheta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(n[j]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sigma2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tau2)</w:t>
      </w:r>
      <w:r>
        <w:br/>
      </w:r>
      <w:r>
        <w:rPr>
          <w:rStyle w:val="NormalTok"/>
        </w:rPr>
        <w:t xml:space="preserve">    etheta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vtheta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(ybar[j]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n[j]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sigma2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tau2)</w:t>
      </w:r>
      <w:r>
        <w:br/>
      </w:r>
      <w:r>
        <w:rPr>
          <w:rStyle w:val="NormalTok"/>
        </w:rPr>
        <w:t xml:space="preserve">    theta[j]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etheta,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(vtheta))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sigma2</w:t>
      </w:r>
      <w:r>
        <w:br/>
      </w:r>
      <w:r>
        <w:rPr>
          <w:rStyle w:val="NormalTok"/>
        </w:rPr>
        <w:t xml:space="preserve">  nun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(n) </w:t>
      </w:r>
      <w:r>
        <w:rPr>
          <w:rStyle w:val="CommentTok"/>
        </w:rPr>
        <w:t xml:space="preserve"># </w:t>
      </w:r>
      <w:r>
        <w:rPr>
          <w:rStyle w:val="AlertTok"/>
        </w:rPr>
        <w:t xml:space="preserve">TODO</w:t>
      </w:r>
      <w:r>
        <w:rPr>
          <w:rStyle w:val="CommentTok"/>
        </w:rPr>
        <w:t xml:space="preserve">: Could cache this</w:t>
      </w:r>
      <w:r>
        <w:br/>
      </w:r>
      <w:r>
        <w:rPr>
          <w:rStyle w:val="NormalTok"/>
        </w:rPr>
        <w:t xml:space="preserve">  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Pool variance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m) {</w:t>
      </w:r>
      <w:r>
        <w:br/>
      </w:r>
      <w:r>
        <w:rPr>
          <w:rStyle w:val="NormalTok"/>
        </w:rPr>
        <w:t xml:space="preserve">    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((Y[Y[,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j,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theta[j])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sigma2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mu</w:t>
      </w:r>
      <w:r>
        <w:br/>
      </w:r>
      <w:r>
        <w:rPr>
          <w:rStyle w:val="NormalTok"/>
        </w:rPr>
        <w:t xml:space="preserve">  vmu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g20)</w:t>
      </w:r>
      <w:r>
        <w:br/>
      </w:r>
      <w:r>
        <w:rPr>
          <w:rStyle w:val="NormalTok"/>
        </w:rPr>
        <w:t xml:space="preserve">  emu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vmu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(m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g20)</w:t>
      </w:r>
      <w:r>
        <w:br/>
      </w:r>
      <w:r>
        <w:rPr>
          <w:rStyle w:val="NormalTok"/>
        </w:rPr>
        <w:t xml:space="preserve">  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emu,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(vmu))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tau2</w:t>
      </w:r>
      <w:r>
        <w:br/>
      </w:r>
      <w:r>
        <w:rPr>
          <w:rStyle w:val="NormalTok"/>
        </w:rPr>
        <w:t xml:space="preserve">  etam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eta0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eta0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((theta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tau2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etam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Store params</w:t>
      </w:r>
      <w:r>
        <w:br/>
      </w:r>
      <w:r>
        <w:rPr>
          <w:rStyle w:val="NormalTok"/>
        </w:rPr>
        <w:t xml:space="preserve">  THETA[s,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SMT[s,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(sigma2, mu, tau2)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Assess convergence with diagnostic boxplots: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63" name="Picture"/>
            <a:graphic>
              <a:graphicData uri="http://schemas.openxmlformats.org/drawingml/2006/picture">
                <pic:pic>
                  <pic:nvPicPr>
                    <pic:cNvPr descr="8_files/figure-docx/unnamed-chunk-8-1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Evaluate effective sample size:</w:t>
      </w:r>
    </w:p>
    <w:p>
      <w:pPr>
        <w:pStyle w:val="SourceCode"/>
      </w:pPr>
      <w:r>
        <w:rPr>
          <w:rStyle w:val="CommentTok"/>
        </w:rPr>
        <w:t xml:space="preserve"># Tweak number of samples until all of the below are above 1000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(coda)</w:t>
      </w:r>
      <w:r>
        <w:br/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(SMT[,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1509.853</w:t>
      </w:r>
      <w:r>
        <w:br/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(SMT[,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1238.402</w:t>
      </w:r>
      <w:r>
        <w:br/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(SMT[,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1036.337</w:t>
      </w:r>
    </w:p>
    <w:bookmarkEnd w:id="265"/>
    <w:bookmarkStart w:id="269" w:name="b-1"/>
    <w:p>
      <w:pPr>
        <w:pStyle w:val="Heading3"/>
      </w:pPr>
      <w:r>
        <w:t xml:space="preserve">6.2.2 b</w:t>
      </w:r>
    </w:p>
    <w:p>
      <w:pPr>
        <w:pStyle w:val="FirstParagraph"/>
      </w:pPr>
      <w:r>
        <w:t xml:space="preserve">Posterior means and confidence intervals</w:t>
      </w:r>
    </w:p>
    <w:p>
      <w:pPr>
        <w:pStyle w:val="SourceCode"/>
      </w:pP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(SMT,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quantile,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</w:t>
      </w:r>
      <w:r>
        <w:br/>
      </w:r>
      <w:r>
        <w:rPr>
          <w:rStyle w:val="CommentTok"/>
        </w:rPr>
        <w:t xml:space="preserve">#&gt;             2.5%       50%     97.5%</w:t>
      </w:r>
      <w:r>
        <w:br/>
      </w:r>
      <w:r>
        <w:rPr>
          <w:rStyle w:val="CommentTok"/>
        </w:rPr>
        <w:t xml:space="preserve">#&gt; sigma2 11.736878 14.376589 17.775544</w:t>
      </w:r>
      <w:r>
        <w:br/>
      </w:r>
      <w:r>
        <w:rPr>
          <w:rStyle w:val="CommentTok"/>
        </w:rPr>
        <w:t xml:space="preserve">#&gt; mu      5.945417  7.546141  9.182105</w:t>
      </w:r>
      <w:r>
        <w:br/>
      </w:r>
      <w:r>
        <w:rPr>
          <w:rStyle w:val="CommentTok"/>
        </w:rPr>
        <w:t xml:space="preserve">#&gt; tau2    1.836294  4.683608 14.643933</w:t>
      </w:r>
    </w:p>
    <w:p>
      <w:pPr>
        <w:pStyle w:val="FirstParagraph"/>
      </w:pPr>
      <w:r>
        <w:t xml:space="preserve">Comparing posterior to prior:</w:t>
      </w:r>
    </w:p>
    <w:p>
      <w:pPr>
        <w:pStyle w:val="SourceCode"/>
      </w:pPr>
      <w:r>
        <w:rPr>
          <w:rStyle w:val="CommentTok"/>
        </w:rPr>
        <w:t xml:space="preserve"># For dinvgamma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(MCMCpack)</w:t>
      </w:r>
      <w:r>
        <w:br/>
      </w:r>
      <w:r>
        <w:rPr>
          <w:rStyle w:val="NormalTok"/>
        </w:rPr>
        <w:t xml:space="preserve">sigma2_prior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22.5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dinvgamma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22.5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 nu0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'sigma2'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tau2_prior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dinvgamma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 eta0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eta0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'tau2'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 mu0,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(g20)),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variable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'mu'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priors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(sigma2_prior, tau2_prior, mu_prior)</w:t>
      </w:r>
      <w:r>
        <w:br/>
      </w:r>
      <w:r>
        <w:rPr>
          <w:rStyle w:val="NormalTok"/>
        </w:rPr>
        <w:t xml:space="preserve">priors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'prior'</w:t>
      </w:r>
      <w:r>
        <w:br/>
      </w:r>
      <w:r>
        <w:rPr>
          <w:rStyle w:val="NormalTok"/>
        </w:rPr>
        <w:t xml:space="preserve">smt.df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'posterior'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(priors,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value,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dist))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smt.df, 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value,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..density..))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variable, </w:t>
      </w:r>
      <w:r>
        <w:rPr>
          <w:rStyle w:val="AttributeTok"/>
        </w:rPr>
        <w:t xml:space="preserve">scales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67" name="Picture"/>
            <a:graphic>
              <a:graphicData uri="http://schemas.openxmlformats.org/drawingml/2006/picture">
                <pic:pic>
                  <pic:nvPicPr>
                    <pic:cNvPr descr="8_files/figure-docx/unnamed-chunk-11-1.png" id="268" name="Picture"/>
                    <pic:cNvPicPr>
                      <a:picLocks noChangeArrowheads="1"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prior estimates for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were fairly accurate, but the</w:t>
      </w:r>
      <w:r>
        <w:t xml:space="preserve"> </w:t>
      </w:r>
      <w:r>
        <w:t xml:space="preserve">estimate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was very far off. After this analysis, estimates are obtained</w:t>
      </w:r>
      <w:r>
        <w:t xml:space="preserve"> </w:t>
      </w:r>
      <w:r>
        <w:t xml:space="preserve">for</w:t>
      </w:r>
      <w:r>
        <w:t xml:space="preserve"> </w:t>
      </w:r>
      <m:oMath>
        <m:r>
          <m:t>μ</m:t>
        </m:r>
      </m:oMath>
      <w:r>
        <w:t xml:space="preserve">, the average amount of hours of schoolwork spent at a typical school,</w:t>
      </w:r>
      <w:r>
        <w:t xml:space="preserve"> 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, the variability between schools in the average hours of schoolwork,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the variability among students’ hours in each school.</w:t>
      </w:r>
    </w:p>
    <w:bookmarkEnd w:id="269"/>
    <w:bookmarkStart w:id="273" w:name="c-1"/>
    <w:p>
      <w:pPr>
        <w:pStyle w:val="Heading3"/>
      </w:pPr>
      <w:r>
        <w:t xml:space="preserve">6.2.3 c</w:t>
      </w:r>
    </w:p>
    <w:p>
      <w:pPr>
        <w:pStyle w:val="SourceCode"/>
      </w:pPr>
      <w:r>
        <w:rPr>
          <w:rStyle w:val="NormalTok"/>
        </w:rPr>
        <w:t xml:space="preserve">t20_prior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FloatTok"/>
        </w:rPr>
        <w:t xml:space="preserve">1e6</w:t>
      </w:r>
      <w:r>
        <w:rPr>
          <w:rStyle w:val="NormalTok"/>
        </w:rPr>
        <w:t xml:space="preserve">, eta0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eta0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s20_prior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FloatTok"/>
        </w:rPr>
        <w:t xml:space="preserve">1e6</w:t>
      </w:r>
      <w:r>
        <w:rPr>
          <w:rStyle w:val="NormalTok"/>
        </w:rPr>
        <w:t xml:space="preserve">, nu0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R_prior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(t20_prior)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(t20_prior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s20_prior),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'prior'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R_post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SMT[, </w:t>
      </w:r>
      <w:r>
        <w:rPr>
          <w:rStyle w:val="StringTok"/>
        </w:rPr>
        <w:t xml:space="preserve">'tau2'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(SMT[, </w:t>
      </w:r>
      <w:r>
        <w:rPr>
          <w:rStyle w:val="StringTok"/>
        </w:rPr>
        <w:t xml:space="preserve">'tau2'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SMT[, </w:t>
      </w:r>
      <w:r>
        <w:rPr>
          <w:rStyle w:val="StringTok"/>
        </w:rPr>
        <w:t xml:space="preserve">'sigma2'</w:t>
      </w:r>
      <w:r>
        <w:rPr>
          <w:rStyle w:val="NormalTok"/>
        </w:rPr>
        <w:t xml:space="preserve">]),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'posterior'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(R_prior,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value,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..density..,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dist))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R_prior)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R_post)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71" name="Picture"/>
            <a:graphic>
              <a:graphicData uri="http://schemas.openxmlformats.org/drawingml/2006/picture">
                <pic:pic>
                  <pic:nvPicPr>
                    <pic:cNvPr descr="8_files/figure-docx/unnamed-chunk-12-1.png" id="272" name="Picture"/>
                    <pic:cNvPicPr>
                      <a:picLocks noChangeArrowheads="1"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(R_post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value)</w:t>
      </w:r>
      <w:r>
        <w:br/>
      </w:r>
      <w:r>
        <w:rPr>
          <w:rStyle w:val="CommentTok"/>
        </w:rPr>
        <w:t xml:space="preserve">#&gt; [1] 0.2616334</w:t>
      </w:r>
    </w:p>
    <w:p>
      <w:pPr>
        <w:pStyle w:val="FirstParagraph"/>
      </w:pPr>
      <m:oMath>
        <m:r>
          <m:t>R</m:t>
        </m:r>
      </m:oMath>
      <w:r>
        <w:t xml:space="preserve"> </w:t>
      </w:r>
      <w:r>
        <w:t xml:space="preserve">measures how much of the total variance in the data is between-group. The</w:t>
      </w:r>
      <w:r>
        <w:t xml:space="preserve"> </w:t>
      </w:r>
      <w:r>
        <w:t xml:space="preserve">prior didn’t contain much information about this quantity, but after inference,</w:t>
      </w:r>
      <w:r>
        <w:t xml:space="preserve"> </w:t>
      </w:r>
      <w:r>
        <w:t xml:space="preserve">the expectation is that around 25% of the variance comes from between group variance</w:t>
      </w:r>
      <w:r>
        <w:t xml:space="preserve"> </w:t>
      </w:r>
      <w:r>
        <w:t xml:space="preserve">(</w:t>
      </w:r>
      <m:oMath>
        <m:sSup>
          <m:e>
            <m:r>
              <m:t>τ</m:t>
            </m:r>
          </m:e>
          <m:sup>
            <m:r>
              <m:t>2</m:t>
            </m:r>
          </m:sup>
        </m:sSup>
      </m:oMath>
      <w:r>
        <w:t xml:space="preserve">).</w:t>
      </w:r>
    </w:p>
    <w:bookmarkEnd w:id="273"/>
    <w:bookmarkStart w:id="274" w:name="d-1"/>
    <w:p>
      <w:pPr>
        <w:pStyle w:val="Heading3"/>
      </w:pPr>
      <w:r>
        <w:t xml:space="preserve">6.2.4 d</w:t>
      </w:r>
    </w:p>
    <w:p>
      <w:pPr>
        <w:pStyle w:val="SourceCode"/>
      </w:pPr>
      <w:r>
        <w:rPr>
          <w:rStyle w:val="NormalTok"/>
        </w:rPr>
        <w:t xml:space="preserve">theta7_lt_6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THETA[,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THETA[,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(theta7_lt_6)</w:t>
      </w:r>
      <w:r>
        <w:br/>
      </w:r>
      <w:r>
        <w:rPr>
          <w:rStyle w:val="CommentTok"/>
        </w:rPr>
        <w:t xml:space="preserve">#&gt; [1] 0.5473333</w:t>
      </w:r>
      <w:r>
        <w:br/>
      </w:r>
      <w:r>
        <w:br/>
      </w:r>
      <w:r>
        <w:rPr>
          <w:rStyle w:val="NormalTok"/>
        </w:rPr>
        <w:t xml:space="preserve">theta7_smallest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(THETA[,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THETA[,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7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all)</w:t>
      </w:r>
      <w:r>
        <w:br/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(theta7_smallest)</w:t>
      </w:r>
      <w:r>
        <w:br/>
      </w:r>
      <w:r>
        <w:rPr>
          <w:rStyle w:val="CommentTok"/>
        </w:rPr>
        <w:t xml:space="preserve">#&gt; [1] 0.336</w:t>
      </w:r>
    </w:p>
    <w:bookmarkEnd w:id="274"/>
    <w:bookmarkStart w:id="278" w:name="e"/>
    <w:p>
      <w:pPr>
        <w:pStyle w:val="Heading3"/>
      </w:pPr>
      <w:r>
        <w:t xml:space="preserve">6.2.5 e</w:t>
      </w:r>
    </w:p>
    <w:p>
      <w:pPr>
        <w:pStyle w:val="SourceCode"/>
      </w:pPr>
      <w:r>
        <w:rPr>
          <w:rStyle w:val="NormalTok"/>
        </w:rPr>
        <w:t xml:space="preserve">relationship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sample_average =</w:t>
      </w:r>
      <w:r>
        <w:rPr>
          <w:rStyle w:val="NormalTok"/>
        </w:rPr>
        <w:t xml:space="preserve"> ybar,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post_exp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(THETA),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school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(ybar)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(relationship,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sample_average,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post_exp, </w:t>
      </w:r>
      <w:r>
        <w:rPr>
          <w:rStyle w:val="AttributeTok"/>
        </w:rPr>
        <w:t xml:space="preserve">label =</w:t>
      </w:r>
      <w:r>
        <w:rPr>
          <w:rStyle w:val="NormalTok"/>
        </w:rPr>
        <w:t xml:space="preserve"> school))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geom_text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(schools.raw[, </w:t>
      </w:r>
      <w:r>
        <w:rPr>
          <w:rStyle w:val="StringTok"/>
        </w:rPr>
        <w:t xml:space="preserve">'hours'</w:t>
      </w:r>
      <w:r>
        <w:rPr>
          <w:rStyle w:val="NormalTok"/>
        </w:rPr>
        <w:t xml:space="preserve">]), </w:t>
      </w:r>
      <w:r>
        <w:rPr>
          <w:rStyle w:val="AttributeTok"/>
        </w:rPr>
        <w:t xml:space="preserve">lty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annotate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'text'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7.9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label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"Pooled sample mean 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(schools.raw[, </w:t>
      </w:r>
      <w:r>
        <w:rPr>
          <w:rStyle w:val="StringTok"/>
        </w:rPr>
        <w:t xml:space="preserve">'hours'</w:t>
      </w:r>
      <w:r>
        <w:rPr>
          <w:rStyle w:val="NormalTok"/>
        </w:rPr>
        <w:t xml:space="preserve">]),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(SMT[, </w:t>
      </w:r>
      <w:r>
        <w:rPr>
          <w:rStyle w:val="StringTok"/>
        </w:rPr>
        <w:t xml:space="preserve">'mu'</w:t>
      </w:r>
      <w:r>
        <w:rPr>
          <w:rStyle w:val="NormalTok"/>
        </w:rPr>
        <w:t xml:space="preserve">]),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annotate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'text'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7.4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label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"Posterior exp. mu 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(SMT[, </w:t>
      </w:r>
      <w:r>
        <w:rPr>
          <w:rStyle w:val="StringTok"/>
        </w:rPr>
        <w:t xml:space="preserve">'mu'</w:t>
      </w:r>
      <w:r>
        <w:rPr>
          <w:rStyle w:val="NormalTok"/>
        </w:rPr>
        <w:t xml:space="preserve">]),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76" name="Picture"/>
            <a:graphic>
              <a:graphicData uri="http://schemas.openxmlformats.org/drawingml/2006/picture">
                <pic:pic>
                  <pic:nvPicPr>
                    <pic:cNvPr descr="8_files/figure-docx/unnamed-chunk-14-1.png" id="277" name="Picture"/>
                    <pic:cNvPicPr>
                      <a:picLocks noChangeArrowheads="1"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There is a quite tight correspondence between the sample average and the</w:t>
      </w:r>
      <w:r>
        <w:t xml:space="preserve"> </w:t>
      </w:r>
      <w:r>
        <w:t xml:space="preserve">posterior expectation, although mild shrinkage can be observed with schools with</w:t>
      </w:r>
      <w:r>
        <w:t xml:space="preserve"> </w:t>
      </w:r>
      <w:r>
        <w:t xml:space="preserve">very high and low sample averages being pulled towards the mean.</w:t>
      </w:r>
    </w:p>
    <w:bookmarkEnd w:id="278"/>
    <w:bookmarkEnd w:id="279"/>
    <w:bookmarkEnd w:id="2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6" Target="media/rId266.png" /><Relationship Type="http://schemas.openxmlformats.org/officeDocument/2006/relationships/image" Id="rId270" Target="media/rId270.png" /><Relationship Type="http://schemas.openxmlformats.org/officeDocument/2006/relationships/image" Id="rId275" Target="media/rId275.png" /><Relationship Type="http://schemas.openxmlformats.org/officeDocument/2006/relationships/image" Id="rId23" Target="media/rId23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26" Target="media/rId26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86" Target="media/rId86.png" /><Relationship Type="http://schemas.openxmlformats.org/officeDocument/2006/relationships/image" Id="rId89" Target="media/rId89.png" /><Relationship Type="http://schemas.openxmlformats.org/officeDocument/2006/relationships/image" Id="rId92" Target="media/rId92.png" /><Relationship Type="http://schemas.openxmlformats.org/officeDocument/2006/relationships/image" Id="rId95" Target="media/rId95.png" /><Relationship Type="http://schemas.openxmlformats.org/officeDocument/2006/relationships/image" Id="rId98" Target="media/rId98.png" /><Relationship Type="http://schemas.openxmlformats.org/officeDocument/2006/relationships/image" Id="rId101" Target="media/rId101.png" /><Relationship Type="http://schemas.openxmlformats.org/officeDocument/2006/relationships/image" Id="rId104" Target="media/rId104.png" /><Relationship Type="http://schemas.openxmlformats.org/officeDocument/2006/relationships/image" Id="rId107" Target="media/rId107.png" /><Relationship Type="http://schemas.openxmlformats.org/officeDocument/2006/relationships/image" Id="rId29" Target="media/rId2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image" Id="rId116" Target="media/rId116.png" /><Relationship Type="http://schemas.openxmlformats.org/officeDocument/2006/relationships/image" Id="rId119" Target="media/rId119.png" /><Relationship Type="http://schemas.openxmlformats.org/officeDocument/2006/relationships/image" Id="rId122" Target="media/rId122.png" /><Relationship Type="http://schemas.openxmlformats.org/officeDocument/2006/relationships/image" Id="rId125" Target="media/rId125.png" /><Relationship Type="http://schemas.openxmlformats.org/officeDocument/2006/relationships/image" Id="rId128" Target="media/rId128.png" /><Relationship Type="http://schemas.openxmlformats.org/officeDocument/2006/relationships/image" Id="rId131" Target="media/rId131.png" /><Relationship Type="http://schemas.openxmlformats.org/officeDocument/2006/relationships/image" Id="rId134" Target="media/rId134.png" /><Relationship Type="http://schemas.openxmlformats.org/officeDocument/2006/relationships/image" Id="rId137" Target="media/rId137.png" /><Relationship Type="http://schemas.openxmlformats.org/officeDocument/2006/relationships/image" Id="rId32" Target="media/rId32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46" Target="media/rId146.png" /><Relationship Type="http://schemas.openxmlformats.org/officeDocument/2006/relationships/image" Id="rId149" Target="media/rId149.png" /><Relationship Type="http://schemas.openxmlformats.org/officeDocument/2006/relationships/image" Id="rId152" Target="media/rId152.png" /><Relationship Type="http://schemas.openxmlformats.org/officeDocument/2006/relationships/image" Id="rId155" Target="media/rId155.png" /><Relationship Type="http://schemas.openxmlformats.org/officeDocument/2006/relationships/image" Id="rId158" Target="media/rId158.png" /><Relationship Type="http://schemas.openxmlformats.org/officeDocument/2006/relationships/image" Id="rId161" Target="media/rId161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35" Target="media/rId35.png" /><Relationship Type="http://schemas.openxmlformats.org/officeDocument/2006/relationships/image" Id="rId170" Target="media/rId170.png" /><Relationship Type="http://schemas.openxmlformats.org/officeDocument/2006/relationships/image" Id="rId173" Target="media/rId173.png" /><Relationship Type="http://schemas.openxmlformats.org/officeDocument/2006/relationships/image" Id="rId176" Target="media/rId176.png" /><Relationship Type="http://schemas.openxmlformats.org/officeDocument/2006/relationships/image" Id="rId179" Target="media/rId179.png" /><Relationship Type="http://schemas.openxmlformats.org/officeDocument/2006/relationships/image" Id="rId182" Target="media/rId182.png" /><Relationship Type="http://schemas.openxmlformats.org/officeDocument/2006/relationships/image" Id="rId185" Target="media/rId185.png" /><Relationship Type="http://schemas.openxmlformats.org/officeDocument/2006/relationships/image" Id="rId188" Target="media/rId188.png" /><Relationship Type="http://schemas.openxmlformats.org/officeDocument/2006/relationships/image" Id="rId191" Target="media/rId191.png" /><Relationship Type="http://schemas.openxmlformats.org/officeDocument/2006/relationships/image" Id="rId194" Target="media/rId194.png" /><Relationship Type="http://schemas.openxmlformats.org/officeDocument/2006/relationships/image" Id="rId197" Target="media/rId197.png" /><Relationship Type="http://schemas.openxmlformats.org/officeDocument/2006/relationships/image" Id="rId38" Target="media/rId38.png" /><Relationship Type="http://schemas.openxmlformats.org/officeDocument/2006/relationships/image" Id="rId200" Target="media/rId200.png" /><Relationship Type="http://schemas.openxmlformats.org/officeDocument/2006/relationships/image" Id="rId203" Target="media/rId203.png" /><Relationship Type="http://schemas.openxmlformats.org/officeDocument/2006/relationships/image" Id="rId206" Target="media/rId206.png" /><Relationship Type="http://schemas.openxmlformats.org/officeDocument/2006/relationships/image" Id="rId209" Target="media/rId209.png" /><Relationship Type="http://schemas.openxmlformats.org/officeDocument/2006/relationships/image" Id="rId212" Target="media/rId212.png" /><Relationship Type="http://schemas.openxmlformats.org/officeDocument/2006/relationships/image" Id="rId215" Target="media/rId215.png" /><Relationship Type="http://schemas.openxmlformats.org/officeDocument/2006/relationships/image" Id="rId218" Target="media/rId218.png" /><Relationship Type="http://schemas.openxmlformats.org/officeDocument/2006/relationships/image" Id="rId221" Target="media/rId221.png" /><Relationship Type="http://schemas.openxmlformats.org/officeDocument/2006/relationships/image" Id="rId224" Target="media/rId224.png" /><Relationship Type="http://schemas.openxmlformats.org/officeDocument/2006/relationships/image" Id="rId227" Target="media/rId227.png" /><Relationship Type="http://schemas.openxmlformats.org/officeDocument/2006/relationships/image" Id="rId41" Target="media/rId41.png" /><Relationship Type="http://schemas.openxmlformats.org/officeDocument/2006/relationships/image" Id="rId230" Target="media/rId230.png" /><Relationship Type="http://schemas.openxmlformats.org/officeDocument/2006/relationships/image" Id="rId233" Target="media/rId233.png" /><Relationship Type="http://schemas.openxmlformats.org/officeDocument/2006/relationships/image" Id="rId236" Target="media/rId236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247" Target="media/rId247.png" /><Relationship Type="http://schemas.openxmlformats.org/officeDocument/2006/relationships/image" Id="rId262" Target="media/rId26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8: Group comparisons and hierarchical modeling</dc:title>
  <dc:creator>Jesse Mu</dc:creator>
  <cp:keywords/>
  <dcterms:created xsi:type="dcterms:W3CDTF">2026-01-09T09:29:46Z</dcterms:created>
  <dcterms:modified xsi:type="dcterms:W3CDTF">2026-01-09T09:29:46Z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2016-11-17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