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53.png" ContentType="image/png"/>
  <Override PartName="/word/media/rId56.png" ContentType="image/png"/>
  <Override PartName="/word/media/rId64.png" ContentType="image/png"/>
  <Override PartName="/word/media/rId69.png" ContentType="image/png"/>
  <Override PartName="/word/media/rId80.png" ContentType="image/png"/>
  <Override PartName="/word/media/rId83.png" ContentType="image/png"/>
  <Override PartName="/word/media/rId87.png" ContentType="image/png"/>
  <Override PartName="/word/media/rId21.png" ContentType="image/png"/>
  <Override PartName="/word/media/rId26.png" ContentType="image/png"/>
  <Override PartName="/word/media/rId29.png" ContentType="image/png"/>
  <Override PartName="/word/media/rId34.png" ContentType="image/png"/>
  <Override PartName="/word/media/rId37.png" ContentType="image/png"/>
  <Override PartName="/word/media/rId40.png" ContentType="image/pn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Posterior approximation with the Gibbs sampler</w:t>
      </w:r>
    </w:p>
    <w:p>
      <w:pPr>
        <w:pStyle w:val="Author"/>
      </w:pPr>
      <w:r>
        <w:t xml:space="preserve">Jesse Mu</w:t>
      </w:r>
    </w:p>
    <w:p>
      <w:pPr>
        <w:pStyle w:val="Date"/>
      </w:pPr>
      <w:r>
        <w:t xml:space="preserve">2016-11-04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0" w:name="a-semiconjugate-prior-distribution"/>
    <w:p>
      <w:pPr>
        <w:pStyle w:val="Heading1"/>
      </w:pPr>
      <w:r>
        <w:t xml:space="preserve">1. A semiconjugate prior distribution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Chapter 5, we performed two-parameter inference by decomposing the prior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p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 So our prior</w:t>
      </w:r>
      <w:r>
        <w:t xml:space="preserve"> </w:t>
      </w:r>
      <w:r>
        <w:t xml:space="preserve">distribution on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relates to the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r>
            <m:rPr>
              <m:sty m:val="p"/>
            </m:rPr>
            <m:t>∣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∼</m:t>
          </m:r>
          <m:r>
            <m:rPr>
              <m:sty m:val="p"/>
              <m:scr m:val="script"/>
            </m:rPr>
            <m:t>N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sSub>
                <m:e>
                  <m:r>
                    <m:t>κ</m:t>
                  </m:r>
                </m:e>
                <m:sub>
                  <m:r>
                    <m:t>0</m:t>
                  </m:r>
                </m:sub>
              </m:sSub>
            </m:e>
          </m:d>
        </m:oMath>
      </m:oMathPara>
    </w:p>
    <w:p>
      <w:pPr>
        <w:pStyle w:val="FirstParagraph"/>
      </w:pPr>
      <w:r>
        <w:t xml:space="preserve">However, consider that we may want to decouple the priors of the two parameters.</w:t>
      </w:r>
      <w:r>
        <w:t xml:space="preserve"> </w:t>
      </w:r>
      <w:r>
        <w:t xml:space="preserve">This allows flexibility with specification of the prior (initial estimate and</w:t>
      </w:r>
      <w:r>
        <w:t xml:space="preserve"> </w:t>
      </w:r>
      <w:r>
        <w:t xml:space="preserve">confidence) of either parameter.</w:t>
      </w:r>
    </w:p>
    <w:p>
      <w:pPr>
        <w:pStyle w:val="BodyText"/>
      </w:pPr>
      <w:r>
        <w:t xml:space="preserve">Consider the midge wing example: we picked a prior on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that was centered</w:t>
      </w:r>
      <w:r>
        <w:t xml:space="preserve"> </w:t>
      </w:r>
      <w:r>
        <w:t xml:space="preserve">around 1.9 (our prior expectation) but with most of its mass above 0, since wing</w:t>
      </w:r>
      <w:r>
        <w:t xml:space="preserve"> </w:t>
      </w:r>
      <w:r>
        <w:t xml:space="preserve">lengths cannot be above 0. We can’t freely do this from what we know in section</w:t>
      </w:r>
      <w:r>
        <w:t xml:space="preserve"> </w:t>
      </w:r>
      <w:r>
        <w:t xml:space="preserve">5 (i.e. setting</w:t>
      </w:r>
      <w:r>
        <w:t xml:space="preserve"> </w:t>
      </w:r>
      <m:oMath>
        <m:sSubSup>
          <m:e>
            <m:r>
              <m:t>τ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sSub>
          <m:e>
            <m:r>
              <m:t>κ</m:t>
            </m:r>
          </m:e>
          <m:sub>
            <m:r>
              <m:t>0</m:t>
            </m:r>
          </m:sub>
        </m:sSub>
      </m:oMath>
      <w:r>
        <w:t xml:space="preserve">). Alternatively, we can set</w:t>
      </w:r>
      <w:r>
        <w:t xml:space="preserve"> </w:t>
      </w:r>
      <m:oMath>
        <m:sSubSup>
          <m:e>
            <m:r>
              <m:t>τ</m:t>
            </m:r>
          </m:e>
          <m:sub>
            <m:r>
              <m:t>0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to be whatever we want, but then there is no longer a known form of</w:t>
      </w:r>
      <w:r>
        <w:t xml:space="preserve"> </w:t>
      </w:r>
      <w:r>
        <w:t xml:space="preserve">the joint posterior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∣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∝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×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θ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e>
          </m:d>
        </m:oMath>
      </m:oMathPara>
    </w:p>
    <w:p>
      <w:pPr>
        <w:pStyle w:val="FirstParagraph"/>
      </w:pPr>
      <w:r>
        <w:t xml:space="preserve">that can easily be sampled from. However, as it turns out, the full conditionals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∣</m:t>
            </m:r>
            <m:r>
              <m:t>θ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are easy to specify, as when evaluating the formulas, we can simply</w:t>
      </w:r>
      <w:r>
        <w:t xml:space="preserve"> </w:t>
      </w:r>
      <w:r>
        <w:t xml:space="preserve">disregard the other fixed parameter as a constant, leading to known posterior</w:t>
      </w:r>
      <w:r>
        <w:t xml:space="preserve"> </w:t>
      </w:r>
      <w:r>
        <w:t xml:space="preserve">distributions. A technicue called Gibbs sampling allows us to take advantage of</w:t>
      </w:r>
      <w:r>
        <w:t xml:space="preserve"> </w:t>
      </w:r>
      <w:r>
        <w:t xml:space="preserve">this by constructing a sampler that approximates the (unknown) joint</w:t>
      </w:r>
      <w:r>
        <w:t xml:space="preserve"> </w:t>
      </w:r>
      <w:r>
        <w:t xml:space="preserve">distribution by sampling iteratively from the (known) full conditional</w:t>
      </w:r>
      <w:r>
        <w:t xml:space="preserve"> </w:t>
      </w:r>
      <w:r>
        <w:t xml:space="preserve">distributions.</w:t>
      </w:r>
    </w:p>
    <w:bookmarkEnd w:id="20"/>
    <w:bookmarkStart w:id="24" w:name="discrete-approximations"/>
    <w:p>
      <w:pPr>
        <w:pStyle w:val="Heading1"/>
      </w:pPr>
      <w:r>
        <w:t xml:space="preserve">2. Discrete approximations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Why posterior densities are hard to calculate for nonconjugate priors using</w:t>
      </w:r>
      <w:r>
        <w:t xml:space="preserve"> </w:t>
      </w:r>
      <w:r>
        <w:t xml:space="preserve">Bayes rule?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b"/>
                      </m:rPr>
                      <m:t>θ</m:t>
                    </m:r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"/>
                      </m:rPr>
                      <m:t>y</m:t>
                    </m:r>
                  </m:e>
                </m:d>
              </m:e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b"/>
                          </m:rP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θ</m:t>
                        </m:r>
                      </m:e>
                    </m:d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b"/>
                          </m:rPr>
                          <m:t>θ</m:t>
                        </m:r>
                      </m:e>
                    </m:d>
                  </m:num>
                  <m:den>
                    <m:r>
                      <m:rPr>
                        <m:sty m:val="p"/>
                      </m:rPr>
                      <m:t>∫</m:t>
                    </m:r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b"/>
                          </m:rP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"/>
                          </m:rPr>
                          <m:t>θ</m:t>
                        </m:r>
                        <m:r>
                          <m:rPr>
                            <m:sty m:val="p"/>
                          </m:rPr>
                          <m:t>′</m:t>
                        </m:r>
                      </m:e>
                    </m:d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b"/>
                          </m:rPr>
                          <m:t>θ</m:t>
                        </m:r>
                        <m:r>
                          <m:rPr>
                            <m:sty m:val="p"/>
                          </m:rPr>
                          <m:t>′</m:t>
                        </m:r>
                      </m:e>
                    </m:d>
                    <m:r>
                      <m:t> </m:t>
                    </m:r>
                    <m:r>
                      <m:t>d</m:t>
                    </m:r>
                    <m:r>
                      <m:rPr>
                        <m:sty m:val="b"/>
                      </m:rPr>
                      <m:t>θ</m:t>
                    </m:r>
                    <m:r>
                      <m:rPr>
                        <m:sty m:val="p"/>
                      </m:rPr>
                      <m:t>′</m:t>
                    </m:r>
                  </m:den>
                </m:f>
              </m:e>
            </m:mr>
          </m:m>
        </m:oMath>
      </m:oMathPara>
    </w:p>
    <w:p>
      <w:pPr>
        <w:pStyle w:val="FirstParagraph"/>
      </w:pPr>
      <w:r>
        <w:t xml:space="preserve">The numerator here is often easy to calculate, but the denominator is often</w:t>
      </w:r>
      <w:r>
        <w:t xml:space="preserve"> </w:t>
      </w:r>
      <w:r>
        <w:t xml:space="preserve">prohibitively hard to compute. When the numerator is not known to be</w:t>
      </w:r>
      <w:r>
        <w:t xml:space="preserve"> </w:t>
      </w:r>
      <w:r>
        <w:t xml:space="preserve">proportional to a known probability distribution, we can’t get the full joint</w:t>
      </w:r>
      <w:r>
        <w:t xml:space="preserve"> </w:t>
      </w:r>
      <w:r>
        <w:t xml:space="preserve">density without the denominator.</w:t>
      </w:r>
    </w:p>
    <w:p>
      <w:pPr>
        <w:pStyle w:val="BodyText"/>
      </w:pPr>
      <w:r>
        <w:t xml:space="preserve">Notice however that we can still evaluate relative probabilites of</w:t>
      </w:r>
      <w:r>
        <w:t xml:space="preserve"> </w:t>
      </w:r>
      <m:oMath>
        <m:sSub>
          <m:e>
            <m:r>
              <m:rPr>
                <m:sty m:val="b"/>
              </m:rPr>
              <m:t>θ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"/>
              </m:rPr>
              <m:t>θ</m:t>
            </m:r>
          </m:e>
          <m:sub>
            <m:r>
              <m:t>b</m:t>
            </m:r>
          </m:sub>
        </m:sSub>
      </m:oMath>
      <w:r>
        <w:t xml:space="preserve">, as their ratio cancels out</w:t>
      </w:r>
      <w:r>
        <w:t xml:space="preserve"> </w:t>
      </w:r>
      <w:r>
        <w:t xml:space="preserve">the integral. More generally, we can create a discrete approximation of the</w:t>
      </w:r>
      <w:r>
        <w:t xml:space="preserve"> </w:t>
      </w:r>
      <w:r>
        <w:t xml:space="preserve">probabilities by evaluating the numerator of this density for values of</w:t>
      </w:r>
      <w:r>
        <w:t xml:space="preserve"> </w:t>
      </w:r>
      <m:oMath>
        <m:r>
          <m:rPr>
            <m:sty m:val="b"/>
          </m:rPr>
          <m:t>θ</m:t>
        </m:r>
      </m:oMath>
      <w:r>
        <w:t xml:space="preserve"> </w:t>
      </w:r>
      <w:r>
        <w:t xml:space="preserve">across an</w:t>
      </w:r>
      <w:r>
        <w:t xml:space="preserve"> </w:t>
      </w:r>
      <m:oMath>
        <m:r>
          <m:t>n</m:t>
        </m:r>
      </m:oMath>
      <w:r>
        <w:t xml:space="preserve">-dimensional grid, then dividing each of</w:t>
      </w:r>
      <w:r>
        <w:t xml:space="preserve"> </w:t>
      </w:r>
      <w:r>
        <w:t xml:space="preserve">these unnormalized densities by the sum of the entire grid.</w:t>
      </w:r>
    </w:p>
    <w:p>
      <w:pPr>
        <w:pStyle w:val="BodyText"/>
      </w:pPr>
      <w:r>
        <w:t xml:space="preserve">Funnily, this is pretty much what I have been doing in the past chapters when</w:t>
      </w:r>
      <w:r>
        <w:t xml:space="preserve"> </w:t>
      </w:r>
      <w:r>
        <w:t xml:space="preserve">plotting heatmaps: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1.64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1.70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1.72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1.74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1.82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1.82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1.82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1.90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2.08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ybar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(y)</w:t>
      </w:r>
      <w:r>
        <w:br/>
      </w:r>
      <w:r>
        <w:br/>
      </w:r>
      <w:r>
        <w:rPr>
          <w:rStyle w:val="CommentTok"/>
        </w:rPr>
        <w:t xml:space="preserve"># Prior</w:t>
      </w:r>
      <w:r>
        <w:br/>
      </w:r>
      <w:r>
        <w:br/>
      </w: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1.9</w:t>
      </w:r>
      <w:r>
        <w:br/>
      </w:r>
      <w:r>
        <w:rPr>
          <w:rStyle w:val="CommentTok"/>
        </w:rPr>
        <w:t xml:space="preserve"># Tau chosen such that most of the mass of the normal distribution &gt; 0</w:t>
      </w:r>
      <w:r>
        <w:br/>
      </w:r>
      <w:r>
        <w:rPr>
          <w:rStyle w:val="NormalTok"/>
        </w:rPr>
        <w:t xml:space="preserve">t20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0.95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loatTok"/>
        </w:rPr>
        <w:t xml:space="preserve">1.505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Sigma2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0.005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This calculates p(sigma2, theta, y_1, \dots, y_n)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(invgamma)</w:t>
      </w:r>
      <w:r>
        <w:br/>
      </w:r>
      <w:r>
        <w:rPr>
          <w:rStyle w:val="NormalTok"/>
        </w:rPr>
        <w:t xml:space="preserve">post.func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Vectorize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(theta, sigma2)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(theta, mu0,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(t20)) </w:t>
      </w:r>
      <w:r>
        <w:rPr>
          <w:rStyle w:val="SpecialCharTok"/>
        </w:rPr>
        <w:t xml:space="preserve">*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dinvgamma</w:t>
      </w:r>
      <w:r>
        <w:rPr>
          <w:rStyle w:val="NormalTok"/>
        </w:rPr>
        <w:t xml:space="preserve">(sigma2, nu0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s20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nu0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prod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(y, theta,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(sigma2)))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NormalTok"/>
        </w:rPr>
        <w:t xml:space="preserve">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(Theta, Sigma2, post.func)</w:t>
      </w:r>
      <w:r>
        <w:br/>
      </w:r>
      <w:r>
        <w:rPr>
          <w:rStyle w:val="FunctionTok"/>
        </w:rPr>
        <w:t xml:space="preserve">rownames</w:t>
      </w:r>
      <w:r>
        <w:rPr>
          <w:rStyle w:val="NormalTok"/>
        </w:rPr>
        <w:t xml:space="preserve">(d)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</w:t>
      </w:r>
      <w:r>
        <w:br/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(d)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Sigma2</w:t>
      </w:r>
      <w:r>
        <w:br/>
      </w:r>
      <w:r>
        <w:rPr>
          <w:rStyle w:val="NormalTok"/>
        </w:rPr>
        <w:t xml:space="preserve">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d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(d)</w:t>
      </w:r>
      <w:r>
        <w:br/>
      </w:r>
      <w:r>
        <w:br/>
      </w:r>
      <w:r>
        <w:rPr>
          <w:rStyle w:val="NormalTok"/>
        </w:rPr>
        <w:t xml:space="preserve">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(d)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rownames_to_column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'theta'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pivot_longer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cols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theta, </w:t>
      </w:r>
      <w:r>
        <w:rPr>
          <w:rStyle w:val="AttributeTok"/>
        </w:rPr>
        <w:t xml:space="preserve">names_to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'sigma2'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values_to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'density'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(theta), </w:t>
      </w:r>
      <w:r>
        <w:rPr>
          <w:rStyle w:val="AttributeTok"/>
        </w:rPr>
        <w:t xml:space="preserve">sigma2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(sigma2))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sigma2, 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density))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geom_contour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..level..))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6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5" w:name="Xba355e0d73f591d64efc76fa7d85ea194a61e21"/>
    <w:p>
      <w:pPr>
        <w:pStyle w:val="Heading1"/>
      </w:pPr>
      <w:r>
        <w:t xml:space="preserve">3. Sampling from the conditional distributions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Again, to proceed with Gibbs sampling, we simply need to calculate the full</w:t>
      </w:r>
      <w:r>
        <w:t xml:space="preserve"> </w:t>
      </w:r>
      <w:r>
        <w:t xml:space="preserve">conditional distributions of the parameters. We already computed the</w:t>
      </w:r>
      <w:r>
        <w:t xml:space="preserve"> </w:t>
      </w:r>
      <w:r>
        <w:t xml:space="preserve">full conditional for</w:t>
      </w:r>
      <w:r>
        <w:t xml:space="preserve"> </w:t>
      </w:r>
      <m:oMath>
        <m:r>
          <m:t>θ</m:t>
        </m:r>
        <m:r>
          <m:rPr>
            <m:sty m:val="p"/>
          </m:rPr>
          <m:t>∣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5.2. For</w:t>
      </w:r>
      <w:r>
        <w:t xml:space="preserve"> </w:t>
      </w:r>
      <m:oMath>
        <m:r>
          <m:t>θ</m:t>
        </m:r>
        <m:r>
          <m:rPr>
            <m:sty m:val="p"/>
          </m:rPr>
          <m:t>∣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τ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</m:e>
        </m:d>
      </m:oMath>
      <w:r>
        <w:t xml:space="preserve">, then</w:t>
      </w:r>
      <w:r>
        <w:t xml:space="preserve"> </w:t>
      </w:r>
      <m:oMath>
        <m:r>
          <m:t>θ</m:t>
        </m:r>
        <m:r>
          <m:rPr>
            <m:sty m:val="p"/>
          </m:rPr>
          <m:t>∣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τ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</m:e>
        </m:d>
      </m:oMath>
      <w:r>
        <w:t xml:space="preserve">, where</w:t>
      </w:r>
      <w:r>
        <w:t xml:space="preserve"> </w:t>
      </w:r>
      <m:oMath>
        <m:sSub>
          <m:e>
            <m:r>
              <m:t>μ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τ</m:t>
            </m:r>
          </m:e>
          <m:sub>
            <m:r>
              <m:t>n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are not</w:t>
      </w:r>
      <w:r>
        <w:t xml:space="preserve"> </w:t>
      </w:r>
      <w:r>
        <w:t xml:space="preserve">reproduced here (see 5.2).</w:t>
      </w:r>
    </w:p>
    <w:p>
      <w:pPr>
        <w:pStyle w:val="BodyText"/>
      </w:pPr>
      <w:r>
        <w:t xml:space="preserve">Now we find the full conditional for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using the exact same method as in 5.2: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n</m:t>
                        </m:r>
                      </m:sub>
                    </m:sSub>
                  </m:e>
                </m:d>
              </m:e>
              <m:e>
                <m:r>
                  <m:rPr>
                    <m:sty m:val="p"/>
                  </m:rPr>
                  <m:t>∝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p>
                              <m:e>
                                <m:r>
                                  <m:t>σ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exp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  <m:sSup>
                              <m:e>
                                <m:r>
                                  <m:t>σ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p>
                              <m:e>
                                <m:d>
                                  <m:dPr>
                                    <m:begChr m:val="("/>
                                    <m:sepChr m:val=""/>
                                    <m:endChr m:val=")"/>
                                    <m:grow/>
                                  </m:dPr>
                                  <m:e>
                                    <m:sSub>
                                      <m:e>
                                        <m:r>
                                          <m:t>y</m:t>
                                        </m:r>
                                      </m:e>
                                      <m:sub>
                                        <m:r>
                                          <m:t>i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m:t>−</m:t>
                                    </m:r>
                                    <m:r>
                                      <m:t>θ</m:t>
                                    </m:r>
                                  </m:e>
                                </m:d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e>
                        </m:nary>
                      </m:e>
                    </m:d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p>
                              <m:e>
                                <m:r>
                                  <m:t>σ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ν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exp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sSubSup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  <m:sSub>
                              <m:e>
                                <m:r>
                                  <m:t>ν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num>
                          <m:den>
                            <m:sSup>
                              <m:e>
                                <m:r>
                                  <m:t>σ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r>
                      <m:rPr>
                        <m:sty m:val="p"/>
                      </m:rPr>
                      <m:t>−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ν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d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×</m:t>
                </m:r>
                <m:r>
                  <m:rPr>
                    <m:nor/>
                    <m:sty m:val="p"/>
                  </m:rPr>
                  <m:t>exp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sSub>
                          <m:e>
                            <m:r>
                              <m:t>ν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p>
                              <m:e>
                                <m:d>
                                  <m:dPr>
                                    <m:begChr m:val="("/>
                                    <m:sepChr m:val=""/>
                                    <m:endChr m:val=")"/>
                                    <m:grow/>
                                  </m:dPr>
                                  <m:e>
                                    <m:sSub>
                                      <m:e>
                                        <m:r>
                                          <m:t>y</m:t>
                                        </m:r>
                                      </m:e>
                                      <m:sub>
                                        <m:r>
                                          <m:t>i</m:t>
                                        </m:r>
                                      </m:sub>
                                    </m:sSub>
                                    <m:r>
                                      <m:rPr>
                                        <m:sty m:val="p"/>
                                      </m:rPr>
                                      <m:t>−</m:t>
                                    </m:r>
                                    <m:r>
                                      <m:t>θ</m:t>
                                    </m:r>
                                  </m:e>
                                </m:d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e>
                        </m:nary>
                      </m:e>
                    </m:d>
                  </m:e>
                </m:d>
              </m:e>
            </m:mr>
            <m:mr>
              <m:e/>
            </m:mr>
          </m:m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∼</m:t>
        </m:r>
        <m:r>
          <m:rPr>
            <m:nor/>
            <m:sty m:val="p"/>
          </m:rPr>
          <m:t>inverse-gamma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sSub>
              <m:e>
                <m:r>
                  <m:t>ν</m:t>
                </m:r>
              </m:e>
              <m:sub>
                <m:r>
                  <m:t>n</m:t>
                </m:r>
              </m:sub>
            </m:sSub>
            <m:sSubSup>
              <m:e>
                <m:r>
                  <m:t>σ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d>
              <m:dPr>
                <m:begChr m:val="("/>
                <m:sepChr m:val=""/>
                <m:endChr m:val=")"/>
                <m:grow/>
              </m:dPr>
              <m:e>
                <m:r>
                  <m:t>θ</m:t>
                </m:r>
              </m:e>
            </m:d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, and</w:t>
      </w:r>
      <w:r>
        <w:t xml:space="preserve"> </w:t>
      </w:r>
      <m:oMath>
        <m:acc>
          <m:accPr>
            <m:chr m:val="̃"/>
          </m:acc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acc>
        <m:r>
          <m:rPr>
            <m:sty m:val="p"/>
          </m:rPr>
          <m:t>∼</m:t>
        </m:r>
        <m:r>
          <m:rPr>
            <m:nor/>
            <m:sty m:val="p"/>
          </m:rPr>
          <m:t>gamma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  <m:r>
          <m:rPr>
            <m:sty m:val="p"/>
          </m:rPr>
          <m:t>)</m:t>
        </m:r>
      </m:oMath>
      <w:r>
        <w:t xml:space="preserve">, with the</w:t>
      </w:r>
      <w:r>
        <w:t xml:space="preserve"> </w:t>
      </w:r>
      <w:r>
        <w:t xml:space="preserve">parameters: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ν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</m:oMath>
    </w:p>
    <w:p>
      <w:pPr>
        <w:pStyle w:val="Compact"/>
        <w:numPr>
          <w:ilvl w:val="0"/>
          <w:numId w:val="1001"/>
        </w:numPr>
      </w:pPr>
      <m:oMath>
        <m:sSubSup>
          <m:e>
            <m:r>
              <m:t>σ</m:t>
            </m:r>
          </m:e>
          <m:sub>
            <m:r>
              <m:t>n</m:t>
            </m:r>
          </m:sub>
          <m:sup>
            <m:r>
              <m:t>2</m:t>
            </m:r>
          </m:sup>
        </m:sSubSup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sSubSup>
              <m:e>
                <m:r>
                  <m:t>σ</m:t>
                </m:r>
              </m:e>
              <m:sub>
                <m:r>
                  <m:t>0</m:t>
                </m:r>
              </m:sub>
              <m:sup>
                <m:r>
                  <m:t>n</m:t>
                </m:r>
              </m:sup>
            </m:sSubSup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n</m:t>
            </m:r>
            <m:sSubSup>
              <m:e>
                <m:r>
                  <m:t>s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d>
              <m:dPr>
                <m:begChr m:val="("/>
                <m:sepChr m:val=""/>
                <m:endChr m:val=")"/>
                <m:grow/>
              </m:dPr>
              <m:e>
                <m:r>
                  <m:t>θ</m:t>
                </m:r>
              </m:e>
            </m:d>
          </m:e>
        </m:d>
        <m:r>
          <m:rPr>
            <m:sty m:val="p"/>
          </m:rPr>
          <m:t>/</m:t>
        </m:r>
        <m:sSub>
          <m:e>
            <m:r>
              <m:t>ν</m:t>
            </m:r>
          </m:e>
          <m:sub>
            <m:r>
              <m:t>n</m:t>
            </m:r>
          </m:sub>
        </m:sSub>
      </m:oMath>
    </w:p>
    <w:p>
      <w:pPr>
        <w:pStyle w:val="FirstParagraph"/>
      </w:pPr>
      <w:r>
        <w:t xml:space="preserve">We denote</w:t>
      </w:r>
      <w:r>
        <w:t xml:space="preserve"> </w:t>
      </w:r>
      <m:oMath>
        <m:sSubSup>
          <m:e>
            <m:r>
              <m:t>σ</m:t>
            </m:r>
          </m:e>
          <m:sub>
            <m:r>
              <m:t>n</m:t>
            </m:r>
          </m:sub>
          <m:sup>
            <m:r>
              <m:t>2</m:t>
            </m:r>
          </m:sup>
        </m:sSubSup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,</w:t>
      </w:r>
      <w:r>
        <w:t xml:space="preserve"> </w:t>
      </w:r>
      <m:oMath>
        <m:sSubSup>
          <m:e>
            <m:r>
              <m:t>s</m:t>
            </m:r>
          </m:e>
          <m:sub>
            <m:r>
              <m:t>n</m:t>
            </m:r>
          </m:sub>
          <m:sup>
            <m:r>
              <m:t>2</m:t>
            </m:r>
          </m:sup>
        </m:sSubSup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to indicate that</w:t>
      </w:r>
      <w:r>
        <w:t xml:space="preserve"> </w:t>
      </w:r>
      <m:oMath>
        <m:sSubSup>
          <m:e>
            <m:r>
              <m:t>σ</m:t>
            </m:r>
          </m:e>
          <m:sub>
            <m:r>
              <m:t>n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is</w:t>
      </w:r>
      <w:r>
        <w:t xml:space="preserve"> </w:t>
      </w:r>
      <w:r>
        <w:t xml:space="preserve">dependent on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which is assumed known.</w:t>
      </w:r>
    </w:p>
    <w:p>
      <w:pPr>
        <w:pStyle w:val="BlockText"/>
      </w:pPr>
      <w:r>
        <w:t xml:space="preserve">A shortcut for thinking about full conditionals, instead of explicitly</w:t>
      </w:r>
      <w:r>
        <w:t xml:space="preserve"> </w:t>
      </w:r>
      <w:r>
        <w:t xml:space="preserve">decomposing the probability according to Bayes rule each time, is to write the</w:t>
      </w:r>
      <w:r>
        <w:t xml:space="preserve"> </w:t>
      </w:r>
      <w:r>
        <w:t xml:space="preserve">numerator of the full joint posterior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b"/>
              </m:rPr>
              <m:t>θ</m:t>
            </m:r>
            <m:r>
              <m:rPr>
                <m:sty m:val="p"/>
              </m:rPr>
              <m:t>∣</m:t>
            </m:r>
            <m:r>
              <m:rPr>
                <m:sty m:val="b"/>
              </m:rPr>
              <m:t>y</m:t>
            </m:r>
          </m:e>
        </m:d>
      </m:oMath>
      <w:r>
        <w:t xml:space="preserve">.</w:t>
      </w:r>
      <w:r>
        <w:t xml:space="preserve"> </w:t>
      </w:r>
      <w:r>
        <w:t xml:space="preserve">Then, if you are interested in the full conditional of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∣</m:t>
            </m:r>
            <m:r>
              <m:rPr>
                <m:sty m:val="b"/>
              </m:rPr>
              <m:t>y</m:t>
            </m:r>
          </m:e>
        </m:d>
      </m:oMath>
      <w:r>
        <w:t xml:space="preserve">, simply evaluate the full joint posterior while treating all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j</m:t>
        </m:r>
        <m:r>
          <m:rPr>
            <m:sty m:val="p"/>
          </m:rPr>
          <m:t>≠</m:t>
        </m:r>
        <m:r>
          <m:t>i</m:t>
        </m:r>
      </m:oMath>
      <w:r>
        <w:t xml:space="preserve"> </w:t>
      </w:r>
      <w:r>
        <w:t xml:space="preserve">as constants (and thus discardable to maintain</w:t>
      </w:r>
      <w:r>
        <w:t xml:space="preserve"> </w:t>
      </w:r>
      <w:r>
        <w:t xml:space="preserve">proportionality). This is used in later chapters (e.g. 8.3.1)</w:t>
      </w:r>
    </w:p>
    <w:bookmarkEnd w:id="25"/>
    <w:bookmarkStart w:id="32" w:name="gibbs-sampling"/>
    <w:p>
      <w:pPr>
        <w:pStyle w:val="Heading1"/>
      </w:pPr>
      <w:r>
        <w:t xml:space="preserve">4. Gibbs sampling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 this, Gibbs sampling proceeds as follows:</w:t>
      </w:r>
    </w:p>
    <w:p>
      <w:pPr>
        <w:pStyle w:val="BodyText"/>
      </w:pPr>
      <w:r>
        <w:t xml:space="preserve">Begin with start values</w:t>
      </w:r>
      <w:r>
        <w:t xml:space="preserve"> </w:t>
      </w:r>
      <m:oMath>
        <m:sSubSup>
          <m:e>
            <m:r>
              <m:t>θ</m:t>
            </m:r>
          </m:e>
          <m:sub>
            <m:r>
              <m:t>i</m:t>
            </m:r>
          </m:sub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0</m:t>
                </m:r>
              </m:e>
            </m:d>
          </m:sup>
        </m:sSubSup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. Usually these can be</w:t>
      </w:r>
      <w:r>
        <w:t xml:space="preserve"> </w:t>
      </w:r>
      <w:r>
        <w:t xml:space="preserve">standard naive estimates of the parameters. Also, you technically only have to</w:t>
      </w:r>
      <w:r>
        <w:t xml:space="preserve"> </w:t>
      </w:r>
      <w:r>
        <w:t xml:space="preserve">have start values for</w:t>
      </w:r>
      <w:r>
        <w:t xml:space="preserve"> </w:t>
      </w:r>
      <w:r>
        <w:rPr>
          <w:i/>
          <w:iCs/>
        </w:rPr>
        <w:t xml:space="preserve">all but one</w:t>
      </w:r>
      <w:r>
        <w:t xml:space="preserve"> </w:t>
      </w:r>
      <w:r>
        <w:t xml:space="preserve">parameter, because now…</w:t>
      </w:r>
    </w:p>
    <w:p>
      <w:pPr>
        <w:pStyle w:val="Compact"/>
        <w:numPr>
          <w:ilvl w:val="0"/>
          <w:numId w:val="1002"/>
        </w:numPr>
      </w:pPr>
      <w:r>
        <w:t xml:space="preserve">(WOLOG) Sample</w:t>
      </w:r>
      <w:r>
        <w:t xml:space="preserve"> </w:t>
      </w:r>
      <m:oMath>
        <m:sSubSup>
          <m:e>
            <m:r>
              <m:t>θ</m:t>
            </m:r>
          </m:e>
          <m:sub>
            <m:r>
              <m:t>1</m:t>
            </m:r>
          </m:sub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</m:e>
            </m:d>
          </m:sup>
        </m:sSubSup>
        <m:r>
          <m:rPr>
            <m:sty m:val="p"/>
          </m:rPr>
          <m:t>∼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∣</m:t>
            </m:r>
            <m:sSubSup>
              <m:e>
                <m:r>
                  <m:t>θ</m:t>
                </m:r>
              </m:e>
              <m:sub>
                <m:r>
                  <m:t>2</m:t>
                </m:r>
              </m:sub>
              <m:sup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0</m:t>
                    </m:r>
                  </m:e>
                </m:d>
              </m:sup>
            </m:sSubSup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Sup>
              <m:e>
                <m:r>
                  <m:t>θ</m:t>
                </m:r>
              </m:e>
              <m:sub>
                <m:r>
                  <m:t>n</m:t>
                </m:r>
              </m:sub>
              <m:sup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0</m:t>
                    </m:r>
                  </m:e>
                </m:d>
              </m:sup>
            </m:sSubSup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</m:oMath>
      <w:r>
        <w:t xml:space="preserve"> </w:t>
      </w:r>
      <w:r>
        <w:t xml:space="preserve">(the full conditional)</w:t>
      </w:r>
    </w:p>
    <w:p>
      <w:pPr>
        <w:pStyle w:val="Compact"/>
        <w:numPr>
          <w:ilvl w:val="0"/>
          <w:numId w:val="1002"/>
        </w:numPr>
      </w:pPr>
      <w:r>
        <w:t xml:space="preserve">Similarly, sample</w:t>
      </w:r>
      <w:r>
        <w:t xml:space="preserve"> </w:t>
      </w:r>
      <m:oMath>
        <m:sSubSup>
          <m:e>
            <m:r>
              <m:t>θ</m:t>
            </m:r>
          </m:e>
          <m:sub>
            <m:r>
              <m:t>2</m:t>
            </m:r>
          </m:sub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</m:e>
            </m:d>
          </m:sup>
        </m:sSubSup>
        <m:r>
          <m:rPr>
            <m:sty m:val="p"/>
          </m:rPr>
          <m:t>∼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∣</m:t>
            </m:r>
            <m:r>
              <m:rPr>
                <m:sty m:val="p"/>
              </m:rPr>
              <m:t>…</m:t>
            </m:r>
          </m:e>
        </m:d>
      </m:oMath>
      <w:r>
        <w:t xml:space="preserve">,</w:t>
      </w:r>
      <w:r>
        <w:t xml:space="preserve"> </w:t>
      </w:r>
      <m:oMath>
        <m:sSubSup>
          <m:e>
            <m:r>
              <m:t>θ</m:t>
            </m:r>
          </m:e>
          <m:sub>
            <m:r>
              <m:t>3</m:t>
            </m:r>
          </m:sub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</m:e>
            </m:d>
          </m:sup>
        </m:sSubSup>
        <m:r>
          <m:rPr>
            <m:sty m:val="p"/>
          </m:rPr>
          <m:t>∼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3</m:t>
                </m:r>
              </m:sub>
            </m:sSub>
            <m:r>
              <m:rPr>
                <m:sty m:val="p"/>
              </m:rPr>
              <m:t>∣</m:t>
            </m:r>
            <m:r>
              <m:rPr>
                <m:sty m:val="p"/>
              </m:rPr>
              <m:t>…</m:t>
            </m:r>
          </m:e>
        </m:d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sSup>
          <m:e>
            <m:r>
              <m:rPr>
                <m:sty m:val="b"/>
              </m:rP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</m:e>
            </m:d>
          </m:sup>
        </m:sSup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sSubSup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  <m:sup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1</m:t>
                          </m:r>
                        </m:e>
                      </m:d>
                    </m:sup>
                  </m:sSubSup>
                </m:e>
                <m:e>
                  <m:r>
                    <m:rPr>
                      <m:sty m:val="p"/>
                    </m:rPr>
                    <m:t>⋯</m:t>
                  </m:r>
                </m:e>
                <m:e>
                  <m:sSubSup>
                    <m:e>
                      <m:r>
                        <m:t>θ</m:t>
                      </m:r>
                    </m:e>
                    <m:sub>
                      <m:r>
                        <m:t>n</m:t>
                      </m:r>
                    </m:sub>
                    <m:sup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1</m:t>
                          </m:r>
                        </m:e>
                      </m:d>
                    </m:sup>
                  </m:sSubSup>
                </m:e>
              </m:mr>
            </m:m>
          </m:e>
        </m:d>
      </m:oMath>
      <w:r>
        <w:t xml:space="preserve"> </w:t>
      </w:r>
      <w:r>
        <w:t xml:space="preserve">is your first Gibbs sample.</w:t>
      </w:r>
    </w:p>
    <w:p>
      <w:pPr>
        <w:pStyle w:val="Compact"/>
        <w:numPr>
          <w:ilvl w:val="0"/>
          <w:numId w:val="1002"/>
        </w:numPr>
      </w:pPr>
      <w:r>
        <w:t xml:space="preserve">Given Gibbs sample</w:t>
      </w:r>
      <w:r>
        <w:t xml:space="preserve"> </w:t>
      </w:r>
      <m:oMath>
        <m:sSup>
          <m:e>
            <m:r>
              <m:rPr>
                <m:sty m:val="b"/>
              </m:rP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</m:oMath>
      <w:r>
        <w:t xml:space="preserve">, for further samples, sample</w:t>
      </w:r>
      <w:r>
        <w:t xml:space="preserve"> </w:t>
      </w:r>
      <w:r>
        <w:t xml:space="preserve">each</w:t>
      </w:r>
      <w:r>
        <w:t xml:space="preserve"> </w:t>
      </w:r>
      <m:oMath>
        <m:sSubSup>
          <m:e>
            <m:r>
              <m:t>θ</m:t>
            </m:r>
          </m:e>
          <m:sub>
            <m:r>
              <m:t>i</m:t>
            </m:r>
          </m:sub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bSup>
      </m:oMath>
      <w:r>
        <w:t xml:space="preserve"> </w:t>
      </w:r>
      <w:r>
        <w:t xml:space="preserve">individually as before, conditioning on the</w:t>
      </w:r>
      <w:r>
        <w:t xml:space="preserve"> </w:t>
      </w:r>
      <m:oMath>
        <m:sSubSup>
          <m:e>
            <m:r>
              <m:t>θ</m:t>
            </m:r>
          </m:e>
          <m:sub>
            <m:r>
              <m:t>i</m:t>
            </m:r>
          </m:sub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bSup>
      </m:oMath>
      <w:r>
        <w:t xml:space="preserve"> </w:t>
      </w:r>
      <w:r>
        <w:t xml:space="preserve">of the previous gibbs sampling</w:t>
      </w:r>
      <w:r>
        <w:t xml:space="preserve"> </w:t>
      </w:r>
      <m:oMath>
        <m:sSup>
          <m:e>
            <m:r>
              <m:rPr>
                <m:sty m:val="b"/>
              </m:rP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</m:oMath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the new samples</w:t>
      </w:r>
      <w:r>
        <w:t xml:space="preserve"> </w:t>
      </w:r>
      <m:oMath>
        <m:sSubSup>
          <m:e>
            <m:r>
              <m:t>θ</m:t>
            </m:r>
          </m:e>
          <m:sub>
            <m:r>
              <m:t>i</m:t>
            </m:r>
          </m:sub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bSup>
      </m:oMath>
      <w:r>
        <w:t xml:space="preserve"> </w:t>
      </w:r>
      <w:r>
        <w:t xml:space="preserve">as they are received. Then</w:t>
      </w:r>
      <w:r>
        <w:t xml:space="preserve"> </w:t>
      </w:r>
      <m:oMath>
        <m:sSup>
          <m:e>
            <m:r>
              <m:rPr>
                <m:sty m:val="b"/>
              </m:rP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sSubSup>
                    <m:e>
                      <m:r>
                        <m:t>θ</m:t>
                      </m:r>
                    </m:e>
                    <m:sub>
                      <m:r>
                        <m:t>1</m:t>
                      </m:r>
                    </m:sub>
                    <m:sup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s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e>
                      </m:d>
                    </m:sup>
                  </m:sSubSup>
                </m:e>
                <m:e>
                  <m:r>
                    <m:rPr>
                      <m:sty m:val="p"/>
                    </m:rPr>
                    <m:t>⋯</m:t>
                  </m:r>
                </m:e>
                <m:e>
                  <m:sSubSup>
                    <m:e>
                      <m:r>
                        <m:t>θ</m:t>
                      </m:r>
                    </m:e>
                    <m:sub>
                      <m:r>
                        <m:t>n</m:t>
                      </m:r>
                    </m:sub>
                    <m:sup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s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e>
                      </m:d>
                    </m:sup>
                  </m:sSubSup>
                </m:e>
              </m:mr>
            </m:m>
          </m:e>
        </m:d>
      </m:oMath>
      <w:r>
        <w:t xml:space="preserve"> </w:t>
      </w:r>
      <w:r>
        <w:t xml:space="preserve">is the</w:t>
      </w:r>
      <w:r>
        <w:t xml:space="preserve"> </w:t>
      </w:r>
      <m:oMath>
        <m:r>
          <m:t>s</m:t>
        </m:r>
        <m:r>
          <m:rPr>
            <m:sty m:val="p"/>
          </m:rPr>
          <m:t>+</m:t>
        </m:r>
        <m:r>
          <m:t>1</m:t>
        </m:r>
      </m:oMath>
      <w:r>
        <w:t xml:space="preserve">th Gibbs sample.</w:t>
      </w:r>
    </w:p>
    <w:p>
      <w:pPr>
        <w:pStyle w:val="FirstParagraph"/>
      </w:pPr>
      <w:r>
        <w:t xml:space="preserve">Notice that the</w:t>
      </w:r>
      <w:r>
        <w:t xml:space="preserve"> </w:t>
      </w:r>
      <m:oMath>
        <m:r>
          <m:t>s</m:t>
        </m:r>
        <m:r>
          <m:rPr>
            <m:sty m:val="p"/>
          </m:rPr>
          <m:t>+</m:t>
        </m:r>
        <m:r>
          <m:t>1</m:t>
        </m:r>
      </m:oMath>
      <w:r>
        <w:t xml:space="preserve">th sample is only conditionally dependent on the</w:t>
      </w:r>
      <w:r>
        <w:t xml:space="preserve"> </w:t>
      </w:r>
      <m:oMath>
        <m:r>
          <m:t>s</m:t>
        </m:r>
      </m:oMath>
      <w:r>
        <w:t xml:space="preserve">th</w:t>
      </w:r>
      <w:r>
        <w:t xml:space="preserve"> </w:t>
      </w:r>
      <w:r>
        <w:t xml:space="preserve">sample, hence the term</w:t>
      </w:r>
      <w:r>
        <w:t xml:space="preserve"> </w:t>
      </w:r>
      <w:r>
        <w:t xml:space="preserve">“Markov Chain Monte Carlo”</w:t>
      </w:r>
      <w:r>
        <w:t xml:space="preserve">.</w:t>
      </w:r>
      <w:r>
        <w:t xml:space="preserve"> </w:t>
      </w:r>
      <w:r>
        <w:t xml:space="preserve">Once these samples are obtained, you can treat them like a standard Monte Carlo</w:t>
      </w:r>
      <w:r>
        <w:t xml:space="preserve"> </w:t>
      </w:r>
      <w:r>
        <w:t xml:space="preserve">sample, and compute all of the desired quantities.</w:t>
      </w:r>
    </w:p>
    <w:p>
      <w:pPr>
        <w:pStyle w:val="BodyText"/>
      </w:pPr>
      <w:r>
        <w:t xml:space="preserve">The following is an example for our midge length data:</w:t>
      </w:r>
    </w:p>
    <w:p>
      <w:pPr>
        <w:pStyle w:val="SourceCode"/>
      </w:pP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PHI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PHI[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phi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(ybar,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s2) </w:t>
      </w:r>
      <w:r>
        <w:rPr>
          <w:rStyle w:val="CommentTok"/>
        </w:rPr>
        <w:t xml:space="preserve"># Start with sample mean + variance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Reproducibility</w:t>
      </w:r>
      <w:r>
        <w:br/>
      </w:r>
      <w:r>
        <w:rPr>
          <w:rStyle w:val="CommentTok"/>
        </w:rPr>
        <w:t xml:space="preserve"># Should use a for loop, as there are variables we need to keep track of through</w:t>
      </w:r>
      <w:r>
        <w:br/>
      </w:r>
      <w:r>
        <w:rPr>
          <w:rStyle w:val="CommentTok"/>
        </w:rPr>
        <w:t xml:space="preserve"># iterations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theta based on \sigma^2 (phi[2])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According to normal(\mu_n, \tau^2_n) where \mu_n and \tau^2_n are as below</w:t>
      </w:r>
      <w:r>
        <w:br/>
      </w:r>
      <w:r>
        <w:rPr>
          <w:rStyle w:val="NormalTok"/>
        </w:rPr>
        <w:t xml:space="preserve">  mun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(mu0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ybar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phi[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phi[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t2n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phi[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phi[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mun,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(t2n))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1/sigma^2 based on \theta</w:t>
      </w:r>
      <w:r>
        <w:br/>
      </w:r>
      <w:r>
        <w:rPr>
          <w:rStyle w:val="NormalTok"/>
        </w:rPr>
        <w:t xml:space="preserve">  nun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s2n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(ybar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phi[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nun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This posterior distribution: inverse-gamma(\nu_n / 2, \sigma^2_n(\theta)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\nu_n / 2)</w:t>
      </w:r>
      <w:r>
        <w:br/>
      </w:r>
      <w:r>
        <w:rPr>
          <w:rStyle w:val="NormalTok"/>
        </w:rPr>
        <w:t xml:space="preserve">  phi[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s2n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nun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PHI[s,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phi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The following are plots of 5, 15, and 100 consecutive Gibbs samples for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acc>
      </m:oMath>
      <w:r>
        <w:t xml:space="preserve">:</w:t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6_files/figure-docx/unnamed-chunk-4-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is the scatterplot of all 1000 of our Gibbs samples: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(phi.df,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1/sigma^2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6_files/figure-docx/unnamed-chunk-5-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Finally, some quantiles:</w:t>
      </w:r>
    </w:p>
    <w:p>
      <w:pPr>
        <w:pStyle w:val="SourceCode"/>
      </w:pPr>
      <w:r>
        <w:rPr>
          <w:rStyle w:val="CommentTok"/>
        </w:rPr>
        <w:t xml:space="preserve"># CI for population mean - first column is theta</w:t>
      </w:r>
      <w:r>
        <w:br/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(PHI[,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1.707282 1.804348 1.901129</w:t>
      </w:r>
      <w:r>
        <w:br/>
      </w:r>
      <w:r>
        <w:rPr>
          <w:rStyle w:val="CommentTok"/>
        </w:rPr>
        <w:t xml:space="preserve"># CI for population precision, second column</w:t>
      </w:r>
      <w:r>
        <w:br/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(PHI[,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 2.5%       50%     97.5% </w:t>
      </w:r>
      <w:r>
        <w:br/>
      </w:r>
      <w:r>
        <w:rPr>
          <w:rStyle w:val="CommentTok"/>
        </w:rPr>
        <w:t xml:space="preserve">#&gt;  17.48020  53.62511 129.20020</w:t>
      </w:r>
      <w:r>
        <w:br/>
      </w:r>
      <w:r>
        <w:rPr>
          <w:rStyle w:val="CommentTok"/>
        </w:rPr>
        <w:t xml:space="preserve"># CI for population stddev, arbitrary function of second column</w:t>
      </w:r>
      <w:r>
        <w:br/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(PHI[,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  2.5%        50%      97.5% </w:t>
      </w:r>
      <w:r>
        <w:br/>
      </w:r>
      <w:r>
        <w:rPr>
          <w:rStyle w:val="CommentTok"/>
        </w:rPr>
        <w:t xml:space="preserve">#&gt; 0.08797701 0.13655763 0.23918408</w:t>
      </w:r>
      <w:r>
        <w:br/>
      </w:r>
      <w:r>
        <w:br/>
      </w:r>
      <w:r>
        <w:rPr>
          <w:rStyle w:val="CommentTok"/>
        </w:rPr>
        <w:t xml:space="preserve"># For later</w:t>
      </w:r>
      <w:r>
        <w:br/>
      </w:r>
      <w:r>
        <w:rPr>
          <w:rStyle w:val="NormalTok"/>
        </w:rPr>
        <w:t xml:space="preserve">midge.df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phi.df</w:t>
      </w:r>
    </w:p>
    <w:bookmarkEnd w:id="32"/>
    <w:bookmarkStart w:id="33" w:name="general-properties-of-the-gibbs-sampler"/>
    <w:p>
      <w:pPr>
        <w:pStyle w:val="Heading1"/>
      </w:pPr>
      <w:r>
        <w:t xml:space="preserve">5. General properties of the Gibbs sampler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Under conditions that will be met for our models, like the law of large numbers</w:t>
      </w:r>
      <w:r>
        <w:t xml:space="preserve"> </w:t>
      </w:r>
      <w:r>
        <w:t xml:space="preserve">for standard monte carlo sampling, a sufficient number of Gibbs samples</w:t>
      </w:r>
      <w:r>
        <w:t xml:space="preserve"> </w:t>
      </w:r>
      <w:r>
        <w:t xml:space="preserve">approaches the target distribution. The question of course is how many samples</w:t>
      </w:r>
      <w:r>
        <w:t xml:space="preserve"> </w:t>
      </w:r>
      <w:r>
        <w:t xml:space="preserve">is enough, which is covered in the next section.</w:t>
      </w:r>
    </w:p>
    <w:p>
      <w:pPr>
        <w:pStyle w:val="BodyText"/>
      </w:pPr>
      <w:r>
        <w:t xml:space="preserve">Another important point is that Gibbs sampling is not a Bayesian model. These</w:t>
      </w:r>
      <w:r>
        <w:t xml:space="preserve"> </w:t>
      </w:r>
      <w:r>
        <w:t xml:space="preserve">two concepts should be separated: Gibbs sampling is a general framework for</w:t>
      </w:r>
      <w:r>
        <w:t xml:space="preserve"> </w:t>
      </w:r>
      <w:r>
        <w:t xml:space="preserve">“observing”</w:t>
      </w:r>
      <w:r>
        <w:t xml:space="preserve"> </w:t>
      </w:r>
      <w:r>
        <w:t xml:space="preserve">the posterior probability distribution, whatever that distribution</w:t>
      </w:r>
      <w:r>
        <w:t xml:space="preserve"> </w:t>
      </w:r>
      <w:r>
        <w:t xml:space="preserve">is.</w:t>
      </w:r>
    </w:p>
    <w:bookmarkEnd w:id="33"/>
    <w:bookmarkStart w:id="60" w:name="introduction-to-mcmc-diagnostics"/>
    <w:p>
      <w:pPr>
        <w:pStyle w:val="Heading1"/>
      </w:pPr>
      <w:r>
        <w:t xml:space="preserve">6. Introduction to MCMC diagnostics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an example of the importance of assessing convergence of Gibbs sampling,</w:t>
      </w:r>
      <w:r>
        <w:t xml:space="preserve"> </w:t>
      </w:r>
      <w:r>
        <w:t xml:space="preserve">consider the following target distribution, a 45-10-45 mixture of</w:t>
      </w:r>
      <w:r>
        <w:t xml:space="preserve"> </w:t>
      </w:r>
      <m:oMath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3</m:t>
            </m:r>
          </m:e>
        </m:d>
        <m:r>
          <m:rPr>
            <m:sty m:val="p"/>
          </m:rPr>
          <m:t>,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3</m:t>
            </m:r>
          </m:e>
        </m:d>
        <m:r>
          <m:rPr>
            <m:sty m:val="p"/>
          </m:rPr>
          <m:t>,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3</m:t>
            </m:r>
          </m:e>
        </m:d>
      </m:oMath>
      <w:r>
        <w:t xml:space="preserve">:</w:t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6_files/figure-docx/unnamed-chunk-7-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Gibbs sampler to obtain samples from this is:</w:t>
      </w:r>
    </w:p>
    <w:p>
      <w:pPr>
        <w:pStyle w:val="SourceCode"/>
      </w:pPr>
      <w:r>
        <w:rPr>
          <w:rStyle w:val="CommentTok"/>
        </w:rPr>
        <w:t xml:space="preserve"># Gibbs sampling with S = 1000</w:t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PHI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Let delta0 = 2 and theta0 = 0</w:t>
      </w:r>
      <w:r>
        <w:br/>
      </w:r>
      <w:r>
        <w:rPr>
          <w:rStyle w:val="NormalTok"/>
        </w:rPr>
        <w:t xml:space="preserve">PHI[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phi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Reproducibility</w:t>
      </w:r>
      <w:r>
        <w:br/>
      </w:r>
      <w:r>
        <w:rPr>
          <w:rStyle w:val="CommentTok"/>
        </w:rPr>
        <w:t xml:space="preserve"># Should use a for loop, as there are variables we need to keep track of through</w:t>
      </w:r>
      <w:r>
        <w:br/>
      </w:r>
      <w:r>
        <w:rPr>
          <w:rStyle w:val="CommentTok"/>
        </w:rPr>
        <w:t xml:space="preserve"># iterations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delta s+1 based on theta s</w:t>
      </w:r>
      <w:r>
        <w:br/>
      </w:r>
      <w:r>
        <w:rPr>
          <w:rStyle w:val="NormalTok"/>
        </w:rPr>
        <w:t xml:space="preserve">  probs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(d) {</w:t>
      </w:r>
      <w:r>
        <w:br/>
      </w:r>
      <w:r>
        <w:rPr>
          <w:rStyle w:val="NormalTok"/>
        </w:rPr>
        <w:t xml:space="preserve">    PROB.DENS[d]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(phi[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MU.DENS[d],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(S2.DENS[d]))</w:t>
      </w:r>
      <w:r>
        <w:br/>
      </w:r>
      <w:r>
        <w:rPr>
          <w:rStyle w:val="NormalTok"/>
        </w:rPr>
        <w:t xml:space="preserve">  })</w:t>
      </w:r>
      <w:r>
        <w:br/>
      </w:r>
      <w:r>
        <w:rPr>
          <w:rStyle w:val="NormalTok"/>
        </w:rPr>
        <w:t xml:space="preserve">  probs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probs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(probs)</w:t>
      </w:r>
      <w:r>
        <w:br/>
      </w:r>
      <w:r>
        <w:rPr>
          <w:rStyle w:val="NormalTok"/>
        </w:rPr>
        <w:t xml:space="preserve">  phi[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sample.int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prob =</w:t>
      </w:r>
      <w:r>
        <w:rPr>
          <w:rStyle w:val="NormalTok"/>
        </w:rPr>
        <w:t xml:space="preserve"> probs)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theta s+1 based on delta (easy)</w:t>
      </w:r>
      <w:r>
        <w:br/>
      </w:r>
      <w:r>
        <w:rPr>
          <w:rStyle w:val="NormalTok"/>
        </w:rPr>
        <w:t xml:space="preserve">  phi[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MU.DENS[phi[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(S2.DENS[phi[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]]))</w:t>
      </w:r>
      <w:r>
        <w:br/>
      </w:r>
      <w:r>
        <w:br/>
      </w:r>
      <w:r>
        <w:rPr>
          <w:rStyle w:val="NormalTok"/>
        </w:rPr>
        <w:t xml:space="preserve">  PHI[s,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phi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theta.mcmc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(PHI)</w:t>
      </w:r>
      <w:r>
        <w:br/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(theta.mcmc)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'delta'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'theta'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theta.mcmc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iteration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(theta.mcmc)</w:t>
      </w:r>
      <w:r>
        <w:br/>
      </w:r>
      <w:r>
        <w:br/>
      </w:r>
      <w:r>
        <w:rPr>
          <w:rStyle w:val="CommentTok"/>
        </w:rPr>
        <w:t xml:space="preserve"># How well does this work?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(theta.dist,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density))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mapping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..density..),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theta.mcmc,</w:t>
      </w:r>
      <w:r>
        <w:br/>
      </w:r>
      <w:r>
        <w:rPr>
          <w:rStyle w:val="NormalTok"/>
        </w:rPr>
        <w:t xml:space="preserve">                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'black'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'grey'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6_files/figure-docx/unnamed-chunk-8-1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CommentTok"/>
        </w:rPr>
        <w:t xml:space="preserve"># Traceplot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(theta.mcmc,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iteration,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theta))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6_files/figure-docx/unnamed-chunk-8-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Notice that the histogram does not adequately approximate the distribution. Try</w:t>
      </w:r>
      <w:r>
        <w:t xml:space="preserve"> </w:t>
      </w:r>
      <w:r>
        <w:t xml:space="preserve">changing the number of samples to 10000 or 100000, which should be better.</w:t>
      </w:r>
    </w:p>
    <w:p>
      <w:pPr>
        <w:pStyle w:val="BodyText"/>
      </w:pPr>
      <w:r>
        <w:t xml:space="preserve">The problem is that since the sampler generates dependent samples, the sampler</w:t>
      </w:r>
      <w:r>
        <w:t xml:space="preserve"> </w:t>
      </w:r>
      <w:r>
        <w:t xml:space="preserve">sticks in high probability regions for a long time. After sufficient samples,</w:t>
      </w:r>
      <w:r>
        <w:t xml:space="preserve"> </w:t>
      </w:r>
      <w:r>
        <w:t xml:space="preserve">this balances out, but sometimes the number of samples required may be very</w:t>
      </w:r>
      <w:r>
        <w:t xml:space="preserve"> </w:t>
      </w:r>
      <w:r>
        <w:t xml:space="preserve">large.</w:t>
      </w:r>
    </w:p>
    <w:bookmarkStart w:id="46" w:name="getting-it-right"/>
    <w:p>
      <w:pPr>
        <w:pStyle w:val="Heading3"/>
      </w:pPr>
      <w:r>
        <w:t xml:space="preserve">6.0.1 Getting it right</w:t>
      </w:r>
    </w:p>
    <w:p>
      <w:pPr>
        <w:pStyle w:val="FirstParagraph"/>
      </w:pPr>
      <w:r>
        <w:t xml:space="preserve">Estimate of MCMC depends on autocorrelation: how correlated a chain of values is</w:t>
      </w:r>
      <w:r>
        <w:t xml:space="preserve"> </w:t>
      </w:r>
      <w:r>
        <w:t xml:space="preserve">with itself. We prefer low correlation values. The</w:t>
      </w:r>
      <w:r>
        <w:t xml:space="preserve"> </w:t>
      </w:r>
      <w:r>
        <w:rPr>
          <w:rStyle w:val="VerbatimChar"/>
        </w:rPr>
        <w:t xml:space="preserve">acf</w:t>
      </w:r>
      <w:r>
        <w:t xml:space="preserve"> </w:t>
      </w:r>
      <w:r>
        <w:t xml:space="preserve">function can be used to assess this: each bar represents the autocorrelation for varying levels of lag, where</w:t>
      </w:r>
      <w:r>
        <w:t xml:space="preserve"> </w:t>
      </w:r>
      <w:r>
        <w:t xml:space="preserve">“lag”</w:t>
      </w:r>
      <w:r>
        <w:t xml:space="preserve"> </w:t>
      </w:r>
      <w:r>
        <w:t xml:space="preserve">is the gap in subsequent samples.</w:t>
      </w:r>
    </w:p>
    <w:p>
      <w:pPr>
        <w:pStyle w:val="SourceCode"/>
      </w:pPr>
      <w:r>
        <w:rPr>
          <w:rStyle w:val="FunctionTok"/>
        </w:rPr>
        <w:t xml:space="preserve">acf</w:t>
      </w:r>
      <w:r>
        <w:rPr>
          <w:rStyle w:val="NormalTok"/>
        </w:rPr>
        <w:t xml:space="preserve">(theta.mcmc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theta, </w:t>
      </w:r>
      <w:r>
        <w:rPr>
          <w:rStyle w:val="AttributeTok"/>
        </w:rPr>
        <w:t xml:space="preserve">lag.max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6_files/figure-docx/unnamed-chunk-9-1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Another thing we can do is obtain the</w:t>
      </w:r>
      <w:r>
        <w:t xml:space="preserve"> </w:t>
      </w:r>
      <w:r>
        <w:t xml:space="preserve">“effective sample size”</w:t>
      </w:r>
      <w:r>
        <w:t xml:space="preserve"> </w:t>
      </w:r>
      <w:r>
        <w:t xml:space="preserve">of the MCMC</w:t>
      </w:r>
      <w:r>
        <w:t xml:space="preserve"> </w:t>
      </w:r>
      <w:r>
        <w:t xml:space="preserve">sample. This exploits the fact that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samples of a value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the following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rPr>
                        <m:nor/>
                        <m:sty m:val="p"/>
                      </m:rPr>
                      <m:t>Var</m:t>
                    </m:r>
                  </m:e>
                  <m:sub>
                    <m:r>
                      <m:rPr>
                        <m:nor/>
                        <m:sty m:val="p"/>
                      </m:rPr>
                      <m:t>MCMC</m:t>
                    </m:r>
                  </m:sub>
                </m:sSub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‾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nor/>
                        <m:sty m:val="p"/>
                      </m:rPr>
                      <m:t>Var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θ</m:t>
                        </m:r>
                      </m:e>
                    </m:d>
                  </m:num>
                  <m:den>
                    <m:r>
                      <m:t>n</m:t>
                    </m:r>
                  </m:den>
                </m:f>
              </m:e>
            </m:mr>
          </m:m>
        </m:oMath>
      </m:oMathPara>
    </w:p>
    <w:p>
      <w:pPr>
        <w:pStyle w:val="FirstParagraph"/>
      </w:pPr>
      <w:r>
        <w:t xml:space="preserve">only holds if the autocorrelation of the samples is zero. If there is positive</w:t>
      </w:r>
      <w:r>
        <w:t xml:space="preserve"> </w:t>
      </w:r>
      <w:r>
        <w:t xml:space="preserve">autocorrelation in the samples, the variance of the sample mean increases, which</w:t>
      </w:r>
      <w:r>
        <w:t xml:space="preserve"> </w:t>
      </w:r>
      <w:r>
        <w:t xml:space="preserve">“reduces”</w:t>
      </w:r>
      <w:r>
        <w:t xml:space="preserve"> </w:t>
      </w:r>
      <m:oMath>
        <m:r>
          <m:t>n</m:t>
        </m:r>
      </m:oMath>
      <w:r>
        <w:t xml:space="preserve">. So by obtaining estimates of the variance of the population (by</w:t>
      </w:r>
      <w:r>
        <w:t xml:space="preserve"> </w:t>
      </w:r>
      <w:r>
        <w:t xml:space="preserve">estimating the variance of the sample) and estimates of the variance of the</w:t>
      </w:r>
      <w:r>
        <w:t xml:space="preserve"> </w:t>
      </w:r>
      <w:r>
        <w:t xml:space="preserve">mean, we can solve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which is an</w:t>
      </w:r>
      <w:r>
        <w:t xml:space="preserve"> </w:t>
      </w:r>
      <w:r>
        <w:t xml:space="preserve">“effective sample size”</w:t>
      </w:r>
      <w:r>
        <w:t xml:space="preserve">.</w:t>
      </w:r>
    </w:p>
    <w:p>
      <w:pPr>
        <w:pStyle w:val="BodyText"/>
      </w:pPr>
      <w:r>
        <w:t xml:space="preserve">Estimating the variance of the mean, given that we cannot assume an independent</w:t>
      </w:r>
      <w:r>
        <w:t xml:space="preserve"> </w:t>
      </w:r>
      <w:r>
        <w:t xml:space="preserve">sample, is nontrivial, and requires calculating the spectral density estimate</w:t>
      </w:r>
      <w:r>
        <w:t xml:space="preserve"> </w:t>
      </w:r>
      <w:r>
        <w:t xml:space="preserve">at frequency zero</w:t>
      </w:r>
      <w:r>
        <w:t xml:space="preserve"> </w:t>
      </w:r>
      <w:r>
        <w:t xml:space="preserve">(Marmer 2010)</w:t>
      </w:r>
      <w:r>
        <w:t xml:space="preserve"> </w:t>
      </w:r>
      <w:r>
        <w:t xml:space="preserve">which is</w:t>
      </w:r>
      <w:r>
        <w:t xml:space="preserve"> </w:t>
      </w:r>
      <w:r>
        <w:t xml:space="preserve">“a convenient way to represent the sequence of autocovariances”</w:t>
      </w:r>
      <w:r>
        <w:t xml:space="preserve"> </w:t>
      </w:r>
      <w:r>
        <w:t xml:space="preserve">of a</w:t>
      </w:r>
      <w:r>
        <w:t xml:space="preserve"> </w:t>
      </w:r>
      <w:r>
        <w:t xml:space="preserve">stochastic process, and is related to 1) autocorrelation, and 2) Fourier transformation.</w:t>
      </w:r>
    </w:p>
    <w:p>
      <w:pPr>
        <w:pStyle w:val="BodyText"/>
      </w:pPr>
      <w:r>
        <w:t xml:space="preserve">This is implemented as the</w:t>
      </w:r>
      <w:r>
        <w:t xml:space="preserve"> </w:t>
      </w:r>
      <w:r>
        <w:rPr>
          <w:rStyle w:val="VerbatimChar"/>
        </w:rPr>
        <w:t xml:space="preserve">effectiveSize</w:t>
      </w:r>
      <w:r>
        <w:t xml:space="preserve"> </w:t>
      </w:r>
      <w:r>
        <w:t xml:space="preserve">function in R, which abridged looks</w:t>
      </w:r>
      <w:r>
        <w:t xml:space="preserve"> </w:t>
      </w:r>
      <w:r>
        <w:t xml:space="preserve">like this: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(coda)</w:t>
      </w:r>
      <w:r>
        <w:br/>
      </w:r>
      <w:r>
        <w:rPr>
          <w:rStyle w:val="NormalTok"/>
        </w:rPr>
        <w:t xml:space="preserve">myEffectiveSize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{</w:t>
      </w:r>
      <w:r>
        <w:br/>
      </w:r>
      <w:r>
        <w:rPr>
          <w:rStyle w:val="NormalTok"/>
        </w:rPr>
        <w:t xml:space="preserve">    spec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spectrum0.ar</w:t>
      </w:r>
      <w:r>
        <w:rPr>
          <w:rStyle w:val="NormalTok"/>
        </w:rPr>
        <w:t xml:space="preserve">(x)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spec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ifelse</w:t>
      </w:r>
      <w:r>
        <w:rPr>
          <w:rStyle w:val="NormalTok"/>
        </w:rPr>
        <w:t xml:space="preserve">(spec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(x)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spec)</w:t>
      </w:r>
      <w:r>
        <w:br/>
      </w:r>
      <w:r>
        <w:rPr>
          <w:rStyle w:val="NormalTok"/>
        </w:rPr>
        <w:t xml:space="preserve">}</w:t>
      </w:r>
    </w:p>
    <w:p>
      <w:pPr>
        <w:pStyle w:val="SourceCode"/>
      </w:pPr>
      <w:r>
        <w:rPr>
          <w:rStyle w:val="FunctionTok"/>
        </w:rPr>
        <w:t xml:space="preserve">effectiveSize</w:t>
      </w:r>
      <w:r>
        <w:rPr>
          <w:rStyle w:val="NormalTok"/>
        </w:rPr>
        <w:t xml:space="preserve">(theta.mcmc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theta)</w:t>
      </w:r>
      <w:r>
        <w:br/>
      </w:r>
      <w:r>
        <w:rPr>
          <w:rStyle w:val="CommentTok"/>
        </w:rPr>
        <w:t xml:space="preserve">#&gt;    var1 </w:t>
      </w:r>
      <w:r>
        <w:br/>
      </w:r>
      <w:r>
        <w:rPr>
          <w:rStyle w:val="CommentTok"/>
        </w:rPr>
        <w:t xml:space="preserve">#&gt; 5.02999</w:t>
      </w:r>
      <w:r>
        <w:br/>
      </w:r>
      <w:r>
        <w:rPr>
          <w:rStyle w:val="FunctionTok"/>
        </w:rPr>
        <w:t xml:space="preserve">myEffectiveSize</w:t>
      </w:r>
      <w:r>
        <w:rPr>
          <w:rStyle w:val="NormalTok"/>
        </w:rPr>
        <w:t xml:space="preserve">(theta.mcmc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theta)</w:t>
      </w:r>
      <w:r>
        <w:br/>
      </w:r>
      <w:r>
        <w:rPr>
          <w:rStyle w:val="CommentTok"/>
        </w:rPr>
        <w:t xml:space="preserve">#&gt; [1] 5.02999</w:t>
      </w:r>
    </w:p>
    <w:bookmarkEnd w:id="46"/>
    <w:bookmarkStart w:id="59" w:name="Xf84d2c10580edf3bbb575d7d403bdec6c244d92"/>
    <w:p>
      <w:pPr>
        <w:pStyle w:val="Heading3"/>
      </w:pPr>
      <w:r>
        <w:t xml:space="preserve">6.0.2 MCMC diagnostics for semiconjugate normal analysis</w:t>
      </w:r>
    </w:p>
    <w:p>
      <w:pPr>
        <w:pStyle w:val="FirstParagraph"/>
      </w:pPr>
      <w:r>
        <w:t xml:space="preserve">Back to midge length. Here are the traceplots for our samples of theta and sigma^2:</w:t>
      </w:r>
    </w:p>
    <w:p>
      <w:pPr>
        <w:pStyle w:val="SourceCode"/>
      </w:pPr>
      <w:r>
        <w:rPr>
          <w:rStyle w:val="NormalTok"/>
        </w:rPr>
        <w:t xml:space="preserve">midge.df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iteration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midge.df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(midge.df,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iteration,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theta))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6_files/figure-docx/unnamed-chunk-12-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(midge.df,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iteration,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1/sigma^2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6_files/figure-docx/unnamed-chunk-12-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By viewing the autocorrelation function and effective sample sizes of our data,</w:t>
      </w:r>
      <w:r>
        <w:t xml:space="preserve"> </w:t>
      </w:r>
      <w:r>
        <w:t xml:space="preserve">we can see that the samples look quite good and seem to have reasonable effective sample sizes.</w:t>
      </w:r>
    </w:p>
    <w:p>
      <w:pPr>
        <w:pStyle w:val="SourceCode"/>
      </w:pPr>
      <w:r>
        <w:rPr>
          <w:rStyle w:val="FunctionTok"/>
        </w:rPr>
        <w:t xml:space="preserve">acf</w:t>
      </w:r>
      <w:r>
        <w:rPr>
          <w:rStyle w:val="NormalTok"/>
        </w:rPr>
        <w:t xml:space="preserve">(midge.df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6_files/figure-docx/unnamed-chunk-13-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FunctionTok"/>
        </w:rPr>
        <w:t xml:space="preserve">effectiveSize</w:t>
      </w:r>
      <w:r>
        <w:rPr>
          <w:rStyle w:val="NormalTok"/>
        </w:rPr>
        <w:t xml:space="preserve">(midge.df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theta)</w:t>
      </w:r>
      <w:r>
        <w:br/>
      </w:r>
      <w:r>
        <w:rPr>
          <w:rStyle w:val="CommentTok"/>
        </w:rPr>
        <w:t xml:space="preserve">#&gt; var1 </w:t>
      </w:r>
      <w:r>
        <w:br/>
      </w:r>
      <w:r>
        <w:rPr>
          <w:rStyle w:val="CommentTok"/>
        </w:rPr>
        <w:t xml:space="preserve">#&gt; 1000</w:t>
      </w:r>
      <w:r>
        <w:br/>
      </w:r>
      <w:r>
        <w:rPr>
          <w:rStyle w:val="FunctionTok"/>
        </w:rPr>
        <w:t xml:space="preserve">acf</w:t>
      </w:r>
      <w:r>
        <w:rPr>
          <w:rStyle w:val="NormalTok"/>
        </w:rPr>
        <w:t xml:space="preserve">(midge.df</w:t>
      </w:r>
      <w:r>
        <w:rPr>
          <w:rStyle w:val="SpecialCharTok"/>
        </w:rPr>
        <w:t xml:space="preserve">$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1/sigma^2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6_files/figure-docx/unnamed-chunk-13-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FunctionTok"/>
        </w:rPr>
        <w:t xml:space="preserve">effectiveSize</w:t>
      </w:r>
      <w:r>
        <w:rPr>
          <w:rStyle w:val="NormalTok"/>
        </w:rPr>
        <w:t xml:space="preserve">(midge.df</w:t>
      </w:r>
      <w:r>
        <w:rPr>
          <w:rStyle w:val="SpecialCharTok"/>
        </w:rPr>
        <w:t xml:space="preserve">$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1/sigma^2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var1 </w:t>
      </w:r>
      <w:r>
        <w:br/>
      </w:r>
      <w:r>
        <w:rPr>
          <w:rStyle w:val="CommentTok"/>
        </w:rPr>
        <w:t xml:space="preserve">#&gt; 805.4388</w:t>
      </w:r>
    </w:p>
    <w:bookmarkEnd w:id="59"/>
    <w:bookmarkEnd w:id="60"/>
    <w:bookmarkStart w:id="95" w:name="exercises"/>
    <w:p>
      <w:pPr>
        <w:pStyle w:val="Heading1"/>
      </w:pPr>
      <w:r>
        <w:t xml:space="preserve">7. Exercises</w:t>
      </w:r>
    </w:p>
    <w:bookmarkStart w:id="68" w:name="section"/>
    <w:p>
      <w:pPr>
        <w:pStyle w:val="Heading2"/>
      </w:pPr>
      <w:r>
        <w:t xml:space="preserve">7.1 6.1</w:t>
      </w:r>
    </w:p>
    <w:bookmarkStart w:id="61" w:name="a"/>
    <w:p>
      <w:pPr>
        <w:pStyle w:val="Heading3"/>
      </w:pPr>
      <w:r>
        <w:t xml:space="preserve">7.1.1 a</w:t>
      </w:r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rPr>
                    <m:nor/>
                    <m:sty m:val="p"/>
                  </m:rPr>
                  <m:t>Cov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B</m:t>
                        </m:r>
                      </m:sub>
                    </m:sSub>
                  </m:e>
                </m:d>
              </m:e>
              <m:e>
                <m:r>
                  <m:rPr>
                    <m:sty m:val="p"/>
                  </m:rPr>
                  <m:t>=</m:t>
                </m:r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B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e>
                </m:d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B</m:t>
                        </m:r>
                      </m:sub>
                    </m:sSub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γ</m:t>
                    </m:r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θ</m:t>
                    </m:r>
                  </m:e>
                </m:d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θ</m:t>
                    </m:r>
                    <m:r>
                      <m:t>γ</m:t>
                    </m:r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γ</m:t>
                    </m:r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θ</m:t>
                    </m:r>
                  </m:e>
                </m:d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θ</m:t>
                    </m:r>
                  </m:e>
                </m:d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γ</m:t>
                    </m:r>
                  </m:e>
                </m:d>
              </m:e>
              <m:e>
                <m:r>
                  <m:t>θ</m:t>
                </m:r>
                <m:r>
                  <m:rPr>
                    <m:sty m:val="p"/>
                  </m:rPr>
                  <m:t>⟂</m:t>
                </m:r>
                <m:r>
                  <m:t>γ</m:t>
                </m:r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γ</m:t>
                    </m:r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sty m:val="p"/>
                    <m:scr m:val="double-struck"/>
                  </m:rPr>
                  <m:t>E</m:t>
                </m:r>
                <m:sSup>
                  <m:e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θ</m:t>
                        </m:r>
                      </m:e>
                    </m:d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γ</m:t>
                    </m:r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  <m:scr m:val="double-struck"/>
                      </m:rPr>
                      <m:t>E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θ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  <m:scr m:val="double-struck"/>
                      </m:rPr>
                      <m:t>E</m:t>
                    </m:r>
                    <m:sSup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θ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γ</m:t>
                    </m:r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Var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θ</m:t>
                    </m:r>
                  </m:e>
                </m:d>
                <m:r>
                  <m:rPr>
                    <m:sty m:val="p"/>
                    <m:scr m:val="double-struck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γ</m:t>
                    </m:r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≠</m:t>
                </m:r>
                <m:r>
                  <m:t>0</m:t>
                </m:r>
              </m:e>
            </m:mr>
          </m:m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rPr>
            <m:nor/>
            <m:sty m:val="p"/>
          </m:rPr>
          <m:t>Cov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θ</m:t>
                </m:r>
              </m:e>
              <m:sub>
                <m:r>
                  <m:t>B</m:t>
                </m:r>
              </m:sub>
            </m:sSub>
          </m:e>
        </m:d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θ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t xml:space="preserve">dependent.</w:t>
      </w:r>
    </w:p>
    <w:p>
      <w:pPr>
        <w:pStyle w:val="BodyText"/>
      </w:pPr>
      <w:r>
        <w:t xml:space="preserve">This prior is justified if we have reason to believe that</w:t>
      </w:r>
      <w:r>
        <w:t xml:space="preserve"> </w:t>
      </w:r>
      <m:oMath>
        <m:sSub>
          <m:e>
            <m:r>
              <m:t>θ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is some</w:t>
      </w:r>
      <w:r>
        <w:t xml:space="preserve"> </w:t>
      </w:r>
      <w:r>
        <w:t xml:space="preserve">product of</w:t>
      </w:r>
      <w:r>
        <w:t xml:space="preserve"> </w:t>
      </w:r>
      <m:oMath>
        <m:sSub>
          <m:e>
            <m:r>
              <m:t>θ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plus random Gamma-distributed noise.</w:t>
      </w:r>
    </w:p>
    <w:bookmarkEnd w:id="61"/>
    <w:bookmarkStart w:id="62" w:name="b"/>
    <w:p>
      <w:pPr>
        <w:pStyle w:val="Heading3"/>
      </w:pPr>
      <w:r>
        <w:t xml:space="preserve">7.1.2 b</w:t>
      </w:r>
    </w:p>
    <w:p>
      <w:pPr>
        <w:pStyle w:val="FirstParagraph"/>
      </w:pPr>
      <w:r>
        <w:t xml:space="preserve">First the joint posterior distribution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θ</m:t>
                    </m:r>
                    <m:r>
                      <m:rPr>
                        <m:sty m:val="p"/>
                      </m:rPr>
                      <m:t>,</m:t>
                    </m:r>
                    <m:r>
                      <m:t>γ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B</m:t>
                        </m:r>
                      </m:sub>
                    </m:sSub>
                  </m:e>
                </m:d>
              </m:e>
              <m:e>
                <m:r>
                  <m:rPr>
                    <m:sty m:val="p"/>
                  </m:rPr>
                  <m:t>∝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θ</m:t>
                    </m:r>
                    <m:r>
                      <m:rPr>
                        <m:sty m:val="p"/>
                      </m:rPr>
                      <m:t>,</m:t>
                    </m:r>
                    <m:r>
                      <m:t>γ</m:t>
                    </m:r>
                  </m:e>
                </m:d>
                <m:r>
                  <m:rPr>
                    <m:sty m:val="p"/>
                  </m:rPr>
                  <m:t>×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,</m:t>
                    </m:r>
                    <m:r>
                      <m:t>γ</m:t>
                    </m:r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θ</m:t>
                    </m:r>
                  </m:e>
                </m:d>
                <m:r>
                  <m:rPr>
                    <m:sty m:val="p"/>
                  </m:rPr>
                  <m:t>×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γ</m:t>
                    </m:r>
                  </m:e>
                </m:d>
                <m:r>
                  <m:rPr>
                    <m:sty m:val="p"/>
                  </m:rPr>
                  <m:t>×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θ</m:t>
                    </m:r>
                  </m:e>
                </m:d>
                <m:r>
                  <m:rPr>
                    <m:sty m:val="p"/>
                  </m:rPr>
                  <m:t>×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,</m:t>
                    </m:r>
                    <m:r>
                      <m:t>γ</m:t>
                    </m:r>
                  </m:e>
                </m:d>
              </m:e>
              <m:e>
                <m:sSub>
                  <m:e>
                    <m:r>
                      <m:rPr>
                        <m:sty m:val="b"/>
                      </m:rPr>
                      <m:t>y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⟂</m:t>
                </m:r>
                <m:r>
                  <m:t>γ</m:t>
                </m:r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γ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t>γ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</m:sup>
                      <m:e>
                        <m:sSup>
                          <m:e>
                            <m:r>
                              <m:t>θ</m:t>
                            </m:r>
                          </m:e>
                          <m:sup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sSub>
                                  <m:e>
                                    <m:r>
                                      <m:t>A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sub>
                            </m:sSub>
                          </m:sup>
                        </m:sSup>
                      </m:e>
                    </m:nary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</m:sup>
                      <m:e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γ</m:t>
                                </m:r>
                                <m:r>
                                  <m:t>θ</m:t>
                                </m:r>
                              </m:e>
                            </m:d>
                          </m:e>
                          <m:sup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sSub>
                                  <m:e>
                                    <m:r>
                                      <m:t>B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sub>
                            </m:sSub>
                          </m:sup>
                        </m:sSup>
                      </m:e>
                    </m:nary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γ</m:t>
                        </m:r>
                        <m:r>
                          <m:t>θ</m:t>
                        </m:r>
                      </m:sup>
                    </m:s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γ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t>γ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n</m:t>
                                </m:r>
                              </m:e>
                              <m:sub>
                                <m:r>
                                  <m:t>A</m:t>
                                </m:r>
                              </m:sub>
                            </m:sSub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sSub>
                                  <m:e>
                                    <m:r>
                                      <m:t>A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sub>
                            </m:sSub>
                          </m:e>
                        </m:nary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γ</m:t>
                            </m:r>
                            <m:r>
                              <m:t>θ</m:t>
                            </m:r>
                          </m:e>
                        </m:d>
                      </m:e>
                      <m:sup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n</m:t>
                                </m:r>
                              </m:e>
                              <m:sub>
                                <m:r>
                                  <m:t>B</m:t>
                                </m:r>
                              </m:sub>
                            </m:sSub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sSub>
                                  <m:e>
                                    <m:r>
                                      <m:t>B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sub>
                            </m:sSub>
                          </m:e>
                        </m:nary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r>
                          <m:t>γ</m:t>
                        </m:r>
                        <m:r>
                          <m:t>θ</m:t>
                        </m:r>
                      </m:sup>
                    </m:s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γ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t>γ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A</m:t>
                            </m:r>
                          </m:sub>
                        </m:sSub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γ</m:t>
                            </m:r>
                            <m:r>
                              <m:t>θ</m:t>
                            </m:r>
                          </m:e>
                        </m:d>
                      </m:e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B</m:t>
                            </m:r>
                          </m:sub>
                        </m:sSub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r>
                          <m:t>γ</m:t>
                        </m:r>
                        <m:r>
                          <m:t>θ</m:t>
                        </m:r>
                      </m:sup>
                    </m:sSup>
                  </m:e>
                </m:d>
              </m:e>
            </m:mr>
            <m:mr>
              <m:e/>
            </m:mr>
          </m:m>
        </m:oMath>
      </m:oMathPara>
    </w:p>
    <w:p>
      <w:pPr>
        <w:pStyle w:val="FirstParagraph"/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θ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γ</m:t>
                    </m:r>
                  </m:e>
                </m:d>
              </m:e>
              <m:e>
                <m:r>
                  <m:rPr>
                    <m:sty m:val="p"/>
                  </m:rPr>
                  <m:t>∝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γ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t>γ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A</m:t>
                            </m:r>
                          </m:sub>
                        </m:sSub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γ</m:t>
                            </m:r>
                            <m:r>
                              <m:t>θ</m:t>
                            </m:r>
                          </m:e>
                        </m:d>
                      </m:e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B</m:t>
                            </m:r>
                          </m:sub>
                        </m:sSub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r>
                          <m:t>γ</m:t>
                        </m:r>
                        <m:r>
                          <m:t>θ</m:t>
                        </m:r>
                      </m:sup>
                    </m:s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A</m:t>
                            </m:r>
                          </m:sub>
                        </m:sSub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γ</m:t>
                            </m:r>
                            <m:r>
                              <m:t>θ</m:t>
                            </m:r>
                          </m:e>
                        </m:d>
                      </m:e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B</m:t>
                            </m:r>
                          </m:sub>
                        </m:sSub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r>
                          <m:t>γ</m:t>
                        </m:r>
                        <m:r>
                          <m:t>θ</m:t>
                        </m:r>
                      </m:sup>
                    </m:s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sSup>
                  <m:e>
                    <m:r>
                      <m:t>θ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θ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r>
                          <m:t>γ</m:t>
                        </m:r>
                      </m:e>
                    </m:d>
                    <m:r>
                      <m:t>θ</m:t>
                    </m:r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nor/>
                    <m:sty m:val="p"/>
                  </m:rPr>
                  <m:t>dgamma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θ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θ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γ</m:t>
                    </m:r>
                  </m:e>
                </m:d>
              </m:e>
            </m:mr>
          </m:m>
        </m:oMath>
      </m:oMathPara>
    </w:p>
    <w:bookmarkEnd w:id="62"/>
    <w:bookmarkStart w:id="63" w:name="c"/>
    <w:p>
      <w:pPr>
        <w:pStyle w:val="Heading3"/>
      </w:pPr>
      <w:r>
        <w:t xml:space="preserve">7.1.3 c</w:t>
      </w:r>
    </w:p>
    <w:p>
      <w:pPr>
        <w:pStyle w:val="FirstParagraph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γ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θ</m:t>
                    </m:r>
                  </m:e>
                </m:d>
              </m:e>
              <m:e>
                <m:r>
                  <m:rPr>
                    <m:sty m:val="p"/>
                  </m:rPr>
                  <m:t>∝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θ</m:t>
                            </m:r>
                          </m:sub>
                        </m:sSub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γ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t>γ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θ</m:t>
                        </m:r>
                      </m:e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A</m:t>
                            </m:r>
                          </m:sub>
                        </m:sSub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t>θ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γ</m:t>
                            </m:r>
                            <m:r>
                              <m:t>θ</m:t>
                            </m:r>
                          </m:e>
                        </m:d>
                      </m:e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B</m:t>
                            </m:r>
                          </m:sub>
                        </m:sSub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r>
                          <m:t>γ</m:t>
                        </m:r>
                        <m:r>
                          <m:t>θ</m:t>
                        </m:r>
                      </m:sup>
                    </m:s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γ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t>γ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γ</m:t>
                            </m:r>
                            <m:r>
                              <m:t>θ</m:t>
                            </m:r>
                          </m:e>
                        </m:d>
                      </m:e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B</m:t>
                            </m:r>
                          </m:sub>
                        </m:sSub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r>
                          <m:t>γ</m:t>
                        </m:r>
                        <m:r>
                          <m:t>θ</m:t>
                        </m:r>
                      </m:sup>
                    </m:s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γ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t>γ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γ</m:t>
                        </m:r>
                      </m:e>
                      <m:sup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  <m:sub>
                            <m:r>
                              <m:t>B</m:t>
                            </m:r>
                          </m:sub>
                        </m:sSub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r>
                          <m:t>γ</m:t>
                        </m:r>
                        <m:r>
                          <m:t>θ</m:t>
                        </m:r>
                      </m:sup>
                    </m:s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sSup>
                  <m:e>
                    <m:r>
                      <m:t>γ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γ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γ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B</m:t>
                            </m:r>
                          </m:sub>
                        </m:sSub>
                        <m:r>
                          <m:t>θ</m:t>
                        </m:r>
                      </m:e>
                    </m:d>
                    <m:r>
                      <m:t>γ</m:t>
                    </m:r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nor/>
                    <m:sty m:val="p"/>
                  </m:rPr>
                  <m:t>dgamma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γ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γ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t>θ</m:t>
                    </m:r>
                  </m:e>
                </m:d>
              </m:e>
            </m:mr>
          </m:m>
        </m:oMath>
      </m:oMathPara>
    </w:p>
    <w:bookmarkEnd w:id="63"/>
    <w:bookmarkStart w:id="67" w:name="d"/>
    <w:p>
      <w:pPr>
        <w:pStyle w:val="Heading3"/>
      </w:pPr>
      <w:r>
        <w:t xml:space="preserve">7.1.4 d</w:t>
      </w:r>
    </w:p>
    <w:p>
      <w:pPr>
        <w:pStyle w:val="SourceCode"/>
      </w:pPr>
      <w:r>
        <w:rPr>
          <w:rStyle w:val="NormalTok"/>
        </w:rPr>
        <w:t xml:space="preserve">Y_a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scan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'Exercises/menchild30bach.dat'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Y_b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scan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'Exercises/menchild30nobach.dat'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n_a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(Y_a)</w:t>
      </w:r>
      <w:r>
        <w:br/>
      </w:r>
      <w:r>
        <w:rPr>
          <w:rStyle w:val="NormalTok"/>
        </w:rPr>
        <w:t xml:space="preserve">n_b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(Y_b)</w:t>
      </w:r>
      <w:r>
        <w:br/>
      </w:r>
      <w:r>
        <w:rPr>
          <w:rStyle w:val="NormalTok"/>
        </w:rPr>
        <w:t xml:space="preserve">ybar_a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(Y_a)</w:t>
      </w:r>
      <w:r>
        <w:br/>
      </w:r>
      <w:r>
        <w:rPr>
          <w:rStyle w:val="NormalTok"/>
        </w:rPr>
        <w:t xml:space="preserve">ybar_b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(Y_b)</w:t>
      </w:r>
      <w:r>
        <w:br/>
      </w:r>
      <w:r>
        <w:br/>
      </w:r>
      <w:r>
        <w:rPr>
          <w:rStyle w:val="NormalTok"/>
        </w:rPr>
        <w:t xml:space="preserve">a_theta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b_theta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br/>
      </w:r>
      <w:r>
        <w:rPr>
          <w:rStyle w:val="NormalTok"/>
        </w:rPr>
        <w:t xml:space="preserve">ab_gamma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128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theta_diff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(ab_gamma,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(abg) {</w:t>
      </w:r>
      <w:r>
        <w:br/>
      </w:r>
      <w:r>
        <w:rPr>
          <w:rStyle w:val="NormalTok"/>
        </w:rPr>
        <w:t xml:space="preserve">  a_gamma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b_gamma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abg</w:t>
      </w:r>
      <w:r>
        <w:br/>
      </w:r>
      <w:r>
        <w:br/>
      </w:r>
      <w:r>
        <w:rPr>
          <w:rStyle w:val="NormalTok"/>
        </w:rPr>
        <w:t xml:space="preserve">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(S)</w:t>
      </w:r>
      <w:r>
        <w:br/>
      </w:r>
      <w:r>
        <w:rPr>
          <w:rStyle w:val="NormalTok"/>
        </w:rPr>
        <w:t xml:space="preserve">  GAMMA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(S)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Starting values</w:t>
      </w:r>
      <w:r>
        <w:br/>
      </w:r>
      <w:r>
        <w:rPr>
          <w:rStyle w:val="NormalTok"/>
        </w:rPr>
        <w:t xml:space="preserve">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ybar_a</w:t>
      </w:r>
      <w:r>
        <w:br/>
      </w:r>
      <w:r>
        <w:rPr>
          <w:rStyle w:val="NormalTok"/>
        </w:rPr>
        <w:t xml:space="preserve">  gamma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ybar_a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ybar_b  </w:t>
      </w:r>
      <w:r>
        <w:rPr>
          <w:rStyle w:val="CommentTok"/>
        </w:rPr>
        <w:t xml:space="preserve"># Relative rate \theta_B / \theta_A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Sample theta \text{dgamma}\left(a_\theta + n_A \bar{y}_A + n_B \bar{y}_B, b_\theta + n_A + n_B \gamma \right)</w:t>
      </w:r>
      <w:r>
        <w:br/>
      </w:r>
      <w:r>
        <w:rPr>
          <w:rStyle w:val="NormalTok"/>
        </w:rPr>
        <w:t xml:space="preserve">  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a_theta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n_a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ybar_a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n_b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ybar_b,</w:t>
      </w:r>
      <w:r>
        <w:br/>
      </w:r>
      <w:r>
        <w:rPr>
          <w:rStyle w:val="NormalTok"/>
        </w:rPr>
        <w:t xml:space="preserve">      b_theta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n_a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n_b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gamma</w:t>
      </w:r>
      <w:r>
        <w:br/>
      </w:r>
      <w:r>
        <w:rPr>
          <w:rStyle w:val="NormalTok"/>
        </w:rPr>
        <w:t xml:space="preserve">    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Sample gamma from \text{dgamma}\left(a_\gamma + n_B\bar{y}_B, b_\gamma + n_B \theta \right)</w:t>
      </w:r>
      <w:r>
        <w:br/>
      </w:r>
      <w:r>
        <w:rPr>
          <w:rStyle w:val="NormalTok"/>
        </w:rPr>
        <w:t xml:space="preserve">    gamma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a_gamma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n_b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ybar_b,</w:t>
      </w:r>
      <w:r>
        <w:br/>
      </w:r>
      <w:r>
        <w:rPr>
          <w:rStyle w:val="NormalTok"/>
        </w:rPr>
        <w:t xml:space="preserve">      b_gamma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n_b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theta</w:t>
      </w:r>
      <w:r>
        <w:br/>
      </w:r>
      <w:r>
        <w:rPr>
          <w:rStyle w:val="NormalTok"/>
        </w:rPr>
        <w:t xml:space="preserve">    )</w:t>
      </w:r>
      <w:r>
        <w:br/>
      </w:r>
      <w:r>
        <w:br/>
      </w:r>
      <w:r>
        <w:rPr>
          <w:rStyle w:val="NormalTok"/>
        </w:rPr>
        <w:t xml:space="preserve">    THETA[s]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</w:t>
      </w:r>
      <w:r>
        <w:br/>
      </w:r>
      <w:r>
        <w:rPr>
          <w:rStyle w:val="NormalTok"/>
        </w:rPr>
        <w:t xml:space="preserve">    GAMMA[s]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gamma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Reconstruct \theta_A, \theta_B</w:t>
      </w:r>
      <w:r>
        <w:br/>
      </w:r>
      <w:r>
        <w:rPr>
          <w:rStyle w:val="NormalTok"/>
        </w:rPr>
        <w:t xml:space="preserve">  THETA_A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</w:t>
      </w:r>
      <w:r>
        <w:br/>
      </w:r>
      <w:r>
        <w:rPr>
          <w:rStyle w:val="NormalTok"/>
        </w:rPr>
        <w:t xml:space="preserve">  THETA_B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GAMMA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(THETA_B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THETA_A)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ab_gamma =</w:t>
      </w:r>
      <w:r>
        <w:rPr>
          <w:rStyle w:val="NormalTok"/>
        </w:rPr>
        <w:t xml:space="preserve"> ab_gamma, </w:t>
      </w:r>
      <w:r>
        <w:rPr>
          <w:rStyle w:val="AttributeTok"/>
        </w:rPr>
        <w:t xml:space="preserve">theta_diff =</w:t>
      </w:r>
      <w:r>
        <w:rPr>
          <w:rStyle w:val="NormalTok"/>
        </w:rPr>
        <w:t xml:space="preserve"> theta_diff),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ab_gamma,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theta_diff))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6_files/figure-docx/unnamed-chunk-14-1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Since</w:t>
      </w:r>
      <w:r>
        <w:t xml:space="preserve"> </w:t>
      </w:r>
      <m:oMath>
        <m:sSub>
          <m:e>
            <m:r>
              <m:t>a</m:t>
            </m:r>
          </m:e>
          <m:sub>
            <m:r>
              <m:t>γ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γ</m:t>
            </m:r>
          </m:sub>
        </m:sSub>
      </m:oMath>
      <w:r>
        <w:t xml:space="preserve"> </w:t>
      </w:r>
      <w:r>
        <w:t xml:space="preserve">are equal, the gamma distribution is centered</w:t>
      </w:r>
      <w:r>
        <w:t xml:space="preserve"> </w:t>
      </w:r>
      <w:r>
        <w:t xml:space="preserve">around 1 and the magnitude represents the strength of our belief that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(the proportion</w:t>
      </w:r>
      <w:r>
        <w:t xml:space="preserve"> </w:t>
      </w:r>
      <m:oMath>
        <m:sSub>
          <m:e>
            <m:r>
              <m:t>θ</m:t>
            </m:r>
          </m:e>
          <m:sub>
            <m:r>
              <m:t>B</m:t>
            </m:r>
          </m:sub>
        </m:sSub>
        <m:r>
          <m:rPr>
            <m:sty m:val="p"/>
          </m:rPr>
          <m:t>/</m:t>
        </m:r>
        <m:sSub>
          <m:e>
            <m:r>
              <m:t>θ</m:t>
            </m:r>
          </m:e>
          <m:sub>
            <m:r>
              <m:t>A</m:t>
            </m:r>
          </m:sub>
        </m:sSub>
      </m:oMath>
      <w:r>
        <w:t xml:space="preserve">) is 1. As expected, as our belief in that</w:t>
      </w:r>
      <w:r>
        <w:t xml:space="preserve"> </w:t>
      </w:r>
      <w:r>
        <w:t xml:space="preserve">increases, the mean posterior difference between</w:t>
      </w:r>
      <w:r>
        <w:t xml:space="preserve"> </w:t>
      </w:r>
      <m:oMath>
        <m:sSub>
          <m:e>
            <m:r>
              <m:t>θ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decreases.</w:t>
      </w:r>
    </w:p>
    <w:bookmarkEnd w:id="67"/>
    <w:bookmarkEnd w:id="68"/>
    <w:bookmarkStart w:id="94" w:name="section-1"/>
    <w:p>
      <w:pPr>
        <w:pStyle w:val="Heading2"/>
      </w:pPr>
      <w:r>
        <w:t xml:space="preserve">7.2 6.2</w:t>
      </w:r>
    </w:p>
    <w:p>
      <w:pPr>
        <w:pStyle w:val="SourceCode"/>
      </w:pPr>
      <w:r>
        <w:rPr>
          <w:rStyle w:val="NormalTok"/>
        </w:rPr>
        <w:t xml:space="preserve">glucose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scan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'Exercises/glucose.dat'</w:t>
      </w:r>
      <w:r>
        <w:rPr>
          <w:rStyle w:val="NormalTok"/>
        </w:rPr>
        <w:t xml:space="preserve">)</w:t>
      </w:r>
    </w:p>
    <w:bookmarkStart w:id="72" w:name="a-1"/>
    <w:p>
      <w:pPr>
        <w:pStyle w:val="Heading3"/>
      </w:pPr>
      <w:r>
        <w:t xml:space="preserve">7.2.1 a</w:t>
      </w:r>
    </w:p>
    <w:p>
      <w:pPr>
        <w:pStyle w:val="SourceCode"/>
      </w:pPr>
      <w:r>
        <w:rPr>
          <w:rStyle w:val="FunctionTok"/>
        </w:rPr>
        <w:t xml:space="preserve">qplot</w:t>
      </w:r>
      <w:r>
        <w:rPr>
          <w:rStyle w:val="NormalTok"/>
        </w:rPr>
        <w:t xml:space="preserve">(glucose,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'histogram'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6_files/figure-docx/unnamed-chunk-16-1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Appears to be skewed right significantly.</w:t>
      </w:r>
    </w:p>
    <w:bookmarkEnd w:id="72"/>
    <w:bookmarkStart w:id="79" w:name="b-1"/>
    <w:p>
      <w:pPr>
        <w:pStyle w:val="Heading3"/>
      </w:pPr>
      <w:r>
        <w:t xml:space="preserve">7.2.2 b</w:t>
      </w:r>
    </w:p>
    <w:p>
      <w:pPr>
        <w:pStyle w:val="FirstParagraph"/>
      </w:pPr>
      <w:r>
        <w:t xml:space="preserve">The likelihood is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b"/>
                      </m:rP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</m:e>
              <m:e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p</m:t>
                    </m:r>
                  </m:e>
                </m:nary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nor/>
                        <m:sty m:val="p"/>
                      </m:rPr>
                      <m:t>dnorm</m:t>
                    </m:r>
                  </m:e>
                </m:nary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</m:e>
                  <m:sup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sup>
                </m:sSup>
                <m:r>
                  <m:rPr>
                    <m:nor/>
                    <m:sty m:val="p"/>
                  </m:rPr>
                  <m:t>dnorm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</m:e>
                  <m:sup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sup>
                </m:sSup>
              </m:e>
            </m:mr>
            <m:mr>
              <m:e/>
            </m:mr>
          </m:m>
        </m:oMath>
      </m:oMathPara>
    </w:p>
    <w:bookmarkStart w:id="73" w:name="boldsymbolx"/>
    <w:p>
      <w:pPr>
        <w:pStyle w:val="Heading4"/>
      </w:pPr>
      <m:oMath>
        <m:r>
          <m:rPr>
            <m:sty m:val="b"/>
          </m:rPr>
          <m:t>x</m:t>
        </m:r>
      </m:oMath>
    </w:p>
    <w:p>
      <w:pPr>
        <w:pStyle w:val="FirstParagraph"/>
      </w:pPr>
      <w:r>
        <w:t xml:space="preserve">First observe the probability that a single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</m:e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</m:num>
                  <m:den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</m:den>
                </m:f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p</m:t>
                        </m:r>
                      </m:e>
                    </m:d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</m:num>
                  <m:den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p</m:t>
                        </m:r>
                      </m:e>
                    </m:d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  <m:r>
                      <m:rPr>
                        <m:sty m:val="p"/>
                      </m:rPr>
                      <m:t>+</m:t>
                    </m:r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p</m:t>
                        </m:r>
                      </m:e>
                    </m:d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</m:den>
                </m:f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rPr>
                        <m:nor/>
                        <m:sty m:val="p"/>
                      </m:rPr>
                      <m:t>dnorm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</m:num>
                  <m:den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rPr>
                        <m:nor/>
                        <m:sty m:val="p"/>
                      </m:rPr>
                      <m:t>dnorm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  <m:r>
                      <m:rPr>
                        <m:sty m:val="p"/>
                      </m:rPr>
                      <m:t>+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e>
                    </m:d>
                    <m:r>
                      <m:rPr>
                        <m:sty m:val="p"/>
                      </m:rPr>
                      <m:t>×</m:t>
                    </m:r>
                    <m:r>
                      <m:rPr>
                        <m:nor/>
                        <m:sty m:val="p"/>
                      </m:rPr>
                      <m:t>dnorm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</m:den>
                </m:f>
              </m:e>
            </m:mr>
          </m:m>
        </m:oMath>
      </m:oMathPara>
    </w:p>
    <w:p>
      <w:pPr>
        <w:pStyle w:val="FirstParagraph"/>
      </w:pPr>
      <w:r>
        <w:t xml:space="preserve">Since this is similar for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0</m:t>
            </m:r>
          </m:e>
        </m:d>
      </m:oMath>
      <w:r>
        <w:t xml:space="preserve">, we know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∼</m:t>
          </m:r>
          <m:r>
            <m:rPr>
              <m:nor/>
              <m:sty m:val="p"/>
            </m:rPr>
            <m:t>Bernoulli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nor/>
                      <m:sty m:val="p"/>
                    </m:rPr>
                    <m:t>dnorm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1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d>
                </m:num>
                <m:den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nor/>
                      <m:sty m:val="p"/>
                    </m:rPr>
                    <m:t>dnorm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1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d>
                  <m:r>
                    <m:rPr>
                      <m:sty m:val="p"/>
                    </m:rPr>
                    <m:t>+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p</m:t>
                      </m:r>
                    </m:e>
                  </m:d>
                  <m:r>
                    <m:rPr>
                      <m:sty m:val="p"/>
                    </m:rPr>
                    <m:t>×</m:t>
                  </m:r>
                  <m:r>
                    <m:rPr>
                      <m:nor/>
                      <m:sty m:val="p"/>
                    </m:rPr>
                    <m:t>dnorm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2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d>
                </m:den>
              </m:f>
            </m:e>
          </m:d>
        </m:oMath>
      </m:oMathPara>
    </w:p>
    <w:bookmarkEnd w:id="73"/>
    <w:bookmarkStart w:id="74" w:name="p"/>
    <w:p>
      <w:pPr>
        <w:pStyle w:val="Heading4"/>
      </w:pPr>
      <m:oMath>
        <m:r>
          <m:t>p</m:t>
        </m:r>
      </m:oMath>
    </w:p>
    <w:p>
      <w:pPr>
        <w:pStyle w:val="FirstParagraph"/>
      </w:pPr>
      <w:r>
        <w:t xml:space="preserve">For this and later calculations, let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∑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(i.e. number of 1s in</w:t>
      </w:r>
      <w:r>
        <w:t xml:space="preserve"> </w:t>
      </w:r>
      <m:oMath>
        <m:r>
          <m:rPr>
            <m:sty m:val="b"/>
          </m:rPr>
          <m:t>x</m:t>
        </m:r>
      </m:oMath>
      <w:r>
        <w:t xml:space="preserve">) and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(i.e. number of 0s).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p</m:t>
                    </m:r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b"/>
                      </m:rPr>
                      <m:t>y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</m:e>
              <m:e>
                <m:r>
                  <m:rPr>
                    <m:sty m:val="p"/>
                  </m:rPr>
                  <m:t>∝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p</m:t>
                    </m:r>
                  </m:e>
                </m:d>
                <m:r>
                  <m:rPr>
                    <m:sty m:val="p"/>
                  </m:rPr>
                  <m:t>×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b"/>
                      </m:rPr>
                      <m:t>y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∣</m:t>
                    </m:r>
                    <m:r>
                      <m:t>p</m:t>
                    </m:r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p</m:t>
                    </m:r>
                  </m:e>
                </m:d>
                <m:r>
                  <m:rPr>
                    <m:sty m:val="p"/>
                  </m:rPr>
                  <m:t>×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p</m:t>
                    </m:r>
                  </m:e>
                </m:d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b"/>
                      </m:rP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p</m:t>
                    </m:r>
                  </m:e>
                </m:d>
                <m:r>
                  <m:rPr>
                    <m:sty m:val="p"/>
                  </m:rPr>
                  <m:t>×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p</m:t>
                    </m:r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nor/>
                    <m:sty m:val="p"/>
                  </m:rPr>
                  <m:t>dbeta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</m:e>
                </m:d>
                <m:r>
                  <m:rPr>
                    <m:sty m:val="p"/>
                  </m:rPr>
                  <m:t>×</m:t>
                </m:r>
                <m:r>
                  <m:rPr>
                    <m:nor/>
                    <m:sty m:val="p"/>
                  </m:rPr>
                  <m:t>dbinom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n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rPr>
                        <m:sty m:val="p"/>
                      </m:rPr>
                      <m:t>,</m:t>
                    </m:r>
                    <m:r>
                      <m:t>p</m:t>
                    </m:r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sSup>
                  <m:e>
                    <m:r>
                      <m:t>p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e>
                    </m:d>
                  </m:e>
                  <m:sup>
                    <m:r>
                      <m:t>b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×</m:t>
                </m:r>
                <m:sSup>
                  <m:e>
                    <m:r>
                      <m:t>p</m:t>
                    </m:r>
                  </m:e>
                  <m:sup>
                    <m:sSub>
                      <m:e>
                        <m:r>
                          <m:t>n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e>
                    </m:d>
                  </m:e>
                  <m:sup>
                    <m:sSub>
                      <m:e>
                        <m:r>
                          <m:t>n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sup>
                </m:sSup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sSup>
                  <m:e>
                    <m:r>
                      <m:t>p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e>
                    </m:d>
                  </m:e>
                  <m:sup>
                    <m:r>
                      <m:t>b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dbeta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</m:e>
            </m:mr>
          </m:m>
        </m:oMath>
      </m:oMathPara>
    </w:p>
    <w:bookmarkEnd w:id="74"/>
    <w:bookmarkStart w:id="75" w:name="theta_1"/>
    <w:p>
      <w:pPr>
        <w:pStyle w:val="Heading4"/>
      </w:pPr>
      <m:oMath>
        <m:sSub>
          <m:e>
            <m:r>
              <m:t>θ</m:t>
            </m:r>
          </m:e>
          <m:sub>
            <m:r>
              <m:t>1</m:t>
            </m:r>
          </m:sub>
        </m:sSub>
      </m:oMath>
    </w:p>
    <w:p>
      <w:pPr>
        <w:pStyle w:val="FirstParagraph"/>
      </w:pPr>
      <w:r>
        <w:t xml:space="preserve">Let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∈</m:t>
        </m:r>
        <m:r>
          <m:rPr>
            <m:sty m:val="b"/>
          </m:rPr>
          <m:t>y</m:t>
        </m:r>
        <m:r>
          <m:t> </m:t>
        </m:r>
        <m:r>
          <m:rPr>
            <m:sty m:val="p"/>
          </m:rPr>
          <m:t>:</m:t>
        </m:r>
        <m:r>
          <m:t> 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∈</m:t>
        </m:r>
        <m:r>
          <m:rPr>
            <m:sty m:val="b"/>
          </m:rPr>
          <m:t>y</m:t>
        </m:r>
        <m:r>
          <m:t> </m:t>
        </m:r>
        <m:r>
          <m:rPr>
            <m:sty m:val="p"/>
          </m:rPr>
          <m:t>:</m:t>
        </m:r>
        <m:r>
          <m:t> 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}</m:t>
        </m:r>
      </m:oMath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b"/>
                      </m:rPr>
                      <m:t>y</m:t>
                    </m:r>
                    <m:r>
                      <m:rPr>
                        <m:sty m:val="p"/>
                      </m:rPr>
                      <m:t>,</m:t>
                    </m:r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</m:e>
              <m:e>
                <m:r>
                  <m:rPr>
                    <m:sty m:val="p"/>
                  </m:rPr>
                  <m:t>∝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  <m:r>
                  <m:rPr>
                    <m:sty m:val="p"/>
                  </m:rPr>
                  <m:t>×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b"/>
                      </m:rP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×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nor/>
                            <m:sty m:val="p"/>
                          </m:rPr>
                          <m:t>dnorm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sSub>
                                  <m:e>
                                    <m:r>
                                      <m:t>y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,</m:t>
                                </m:r>
                                <m:sSub>
                                  <m:e>
                                    <m:r>
                                      <m:t>θ</m:t>
                                    </m:r>
                                  </m:e>
                                  <m:sub>
                                    <m: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,</m:t>
                                </m:r>
                                <m:sSubSup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1</m:t>
                                    </m:r>
                                  </m:sub>
                                  <m:sup>
                                    <m:r>
                                      <m:t>2</m:t>
                                    </m:r>
                                  </m:sup>
                                </m:sSubSup>
                              </m:e>
                            </m:d>
                          </m:e>
                          <m:sup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nor/>
                            <m:sty m:val="p"/>
                          </m:rPr>
                          <m:t>dnorm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sSub>
                                  <m:e>
                                    <m:r>
                                      <m:t>y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,</m:t>
                                </m:r>
                                <m:sSub>
                                  <m:e>
                                    <m:r>
                                      <m:t>θ</m:t>
                                    </m:r>
                                  </m:e>
                                  <m:sub>
                                    <m: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,</m:t>
                                </m:r>
                                <m:sSubSup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2</m:t>
                                    </m:r>
                                  </m:sub>
                                  <m:sup>
                                    <m:r>
                                      <m:t>2</m:t>
                                    </m:r>
                                  </m:sup>
                                </m:sSubSup>
                              </m:e>
                            </m:d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sup>
                        </m:sSup>
                      </m:e>
                    </m:d>
                  </m:e>
                </m:nary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nor/>
                    <m:sty m:val="p"/>
                  </m:rPr>
                  <m:t>dnorm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τ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  <m:r>
                  <m:rPr>
                    <m:sty m:val="p"/>
                  </m:rPr>
                  <m:t>×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nor/>
                        <m:sty m:val="p"/>
                      </m:rPr>
                      <m:t>dnorm</m:t>
                    </m:r>
                  </m:e>
                </m:nary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</m:e>
                  <m:sup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sup>
                </m:sSup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nor/>
                    <m:sty m:val="p"/>
                  </m:rPr>
                  <m:t>dnorm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τ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  <m:r>
                  <m:rPr>
                    <m:sty m:val="p"/>
                  </m:rPr>
                  <m:t>×</m:t>
                </m:r>
                <m:nary>
                  <m:naryPr>
                    <m:chr m:val="∏"/>
                    <m:limLoc m:val="undOvr"/>
                    <m:subHide m:val="off"/>
                    <m:supHide m:val="on"/>
                  </m:naryPr>
                  <m:sub>
                    <m:r>
                      <m:t>y</m:t>
                    </m:r>
                    <m:r>
                      <m:rPr>
                        <m:sty m:val="p"/>
                      </m:rPr>
                      <m:t>∈</m:t>
                    </m:r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nor/>
                        <m:sty m:val="p"/>
                      </m:rPr>
                      <m:t>dnorm</m:t>
                    </m:r>
                  </m:e>
                </m:nary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sSubSup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θ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nary>
                  <m:naryPr>
                    <m:chr m:val="∏"/>
                    <m:limLoc m:val="undOvr"/>
                    <m:subHide m:val="off"/>
                    <m:supHide m:val="on"/>
                  </m:naryPr>
                  <m:sub>
                    <m:r>
                      <m:t>y</m:t>
                    </m:r>
                    <m:r>
                      <m:rPr>
                        <m:sty m:val="p"/>
                      </m:rPr>
                      <m:t>∈</m:t>
                    </m:r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exp</m:t>
                    </m:r>
                  </m:e>
                </m:nary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θ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sSubSup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θ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μ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sSub>
                          <m:e>
                            <m:r>
                              <m:rPr>
                                <m:sty m:val="b"/>
                              </m:rPr>
                              <m:t>y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  <m:sup>
                        <m:r>
                          <m:t>​</m:t>
                        </m:r>
                      </m:sup>
                      <m:e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sSub>
                                  <m:e>
                                    <m:r>
                                      <m:t>θ</m:t>
                                    </m:r>
                                  </m:e>
                                  <m:sub>
                                    <m:r>
                                      <m:t>1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nary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nor/>
                    <m:sty m:val="p"/>
                  </m:rPr>
                  <m:t>calculations from 5.2...</m:t>
                </m:r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sty m:val="p"/>
                    <m:scr m:val="script"/>
                  </m:rPr>
                  <m:t>N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Sup>
                      <m:e>
                        <m:r>
                          <m:t>τ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b>
                    </m:sSub>
                  </m:e>
                </m:d>
              </m:e>
            </m:mr>
          </m:m>
        </m:oMath>
      </m:oMathPara>
    </w:p>
    <w:p>
      <w:pPr>
        <w:pStyle w:val="FirstParagraph"/>
      </w:pPr>
      <w:r>
        <w:t xml:space="preserve">where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bSup>
                  <m:e>
                    <m:r>
                      <m:t>τ</m:t>
                    </m:r>
                  </m:e>
                  <m:sub>
                    <m:r>
                      <m:t>n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</m:sub>
                  <m:sup>
                    <m:r>
                      <m:t>2</m:t>
                    </m:r>
                  </m:sup>
                </m:sSubSup>
              </m:e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Sup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</m:den>
                </m:f>
              </m:e>
            </m:mr>
            <m:mr>
              <m:e>
                <m:sSub>
                  <m:e>
                    <m:r>
                      <m:t>μ</m:t>
                    </m:r>
                  </m:e>
                  <m:sub>
                    <m:r>
                      <m:t>n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Sup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  <m: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b>
                    </m:sSub>
                  </m:num>
                  <m:den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bSup>
                          <m:e>
                            <m:r>
                              <m:t>τ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</m:den>
                </m:f>
              </m:e>
            </m:mr>
          </m:m>
        </m:oMath>
      </m:oMathPara>
    </w:p>
    <w:bookmarkEnd w:id="75"/>
    <w:bookmarkStart w:id="76" w:name="theta_2"/>
    <w:p>
      <w:pPr>
        <w:pStyle w:val="Heading4"/>
      </w:pPr>
      <m:oMath>
        <m:sSub>
          <m:e>
            <m:r>
              <m:t>θ</m:t>
            </m:r>
          </m:e>
          <m:sub>
            <m:r>
              <m:t>2</m:t>
            </m:r>
          </m:sub>
        </m:sSub>
      </m:oMath>
    </w:p>
    <w:p>
      <w:pPr>
        <w:pStyle w:val="FirstParagraph"/>
      </w:pP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∣</m:t>
        </m:r>
        <m:r>
          <m:rPr>
            <m:sty m:val="p"/>
          </m:rPr>
          <m:t>…</m:t>
        </m:r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μ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t>τ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sub>
              <m:sup>
                <m:r>
                  <m:t>2</m:t>
                </m:r>
              </m:sup>
            </m:sSubSup>
          </m:e>
        </m:d>
      </m:oMath>
      <w:r>
        <w:t xml:space="preserve"> </w:t>
      </w:r>
      <w:r>
        <w:t xml:space="preserve">like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with the subscripts switched from 1 to 2.</w:t>
      </w:r>
    </w:p>
    <w:bookmarkEnd w:id="76"/>
    <w:bookmarkStart w:id="77" w:name="sigma2_1"/>
    <w:p>
      <w:pPr>
        <w:pStyle w:val="Heading4"/>
      </w:pPr>
      <m:oMath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</w:p>
    <w:p>
      <w:pPr>
        <w:pStyle w:val="FirstParagraph"/>
      </w:pPr>
      <w:r>
        <w:t xml:space="preserve">As probably expected, this will look like inference for a standard normal model,</w:t>
      </w:r>
      <w:r>
        <w:t xml:space="preserve"> </w:t>
      </w:r>
      <w:r>
        <w:t xml:space="preserve">except using only the data in group 1.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b"/>
                      </m:rPr>
                      <m:t>y</m:t>
                    </m:r>
                    <m:r>
                      <m:rPr>
                        <m:sty m:val="p"/>
                      </m:rPr>
                      <m:t>,</m:t>
                    </m:r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</m:e>
              <m:e>
                <m:r>
                  <m:rPr>
                    <m:sty m:val="p"/>
                  </m:rPr>
                  <m:t>∝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  <m:r>
                  <m:rPr>
                    <m:sty m:val="p"/>
                  </m:rPr>
                  <m:t>×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b"/>
                      </m:rP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"/>
                      </m:rP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p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2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  <m:r>
                  <m:rPr>
                    <m:sty m:val="p"/>
                  </m:rPr>
                  <m:t>×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nor/>
                            <m:sty m:val="p"/>
                          </m:rPr>
                          <m:t>dnorm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sSub>
                                  <m:e>
                                    <m:r>
                                      <m:t>y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,</m:t>
                                </m:r>
                                <m:sSub>
                                  <m:e>
                                    <m:r>
                                      <m:t>θ</m:t>
                                    </m:r>
                                  </m:e>
                                  <m:sub>
                                    <m:r>
                                      <m:t>1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,</m:t>
                                </m:r>
                                <m:sSubSup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1</m:t>
                                    </m:r>
                                  </m:sub>
                                  <m:sup>
                                    <m:r>
                                      <m:t>2</m:t>
                                    </m:r>
                                  </m:sup>
                                </m:sSubSup>
                              </m:e>
                            </m:d>
                          </m:e>
                          <m:sup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nor/>
                            <m:sty m:val="p"/>
                          </m:rPr>
                          <m:t>dnorm</m:t>
                        </m:r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sSub>
                                  <m:e>
                                    <m:r>
                                      <m:t>y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,</m:t>
                                </m:r>
                                <m:sSub>
                                  <m:e>
                                    <m:r>
                                      <m:t>θ</m:t>
                                    </m:r>
                                  </m:e>
                                  <m:sub>
                                    <m: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,</m:t>
                                </m:r>
                                <m:sSubSup>
                                  <m:e>
                                    <m:r>
                                      <m:t>σ</m:t>
                                    </m:r>
                                  </m:e>
                                  <m:sub>
                                    <m:r>
                                      <m:t>2</m:t>
                                    </m:r>
                                  </m:sub>
                                  <m:sup>
                                    <m:r>
                                      <m:t>2</m:t>
                                    </m:r>
                                  </m:sup>
                                </m:sSubSup>
                              </m:e>
                            </m:d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sup>
                        </m:sSup>
                      </m:e>
                    </m:d>
                  </m:e>
                </m:nary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nor/>
                    <m:sty m:val="p"/>
                  </m:rPr>
                  <m:t>inverse-gamma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ν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sSub>
                      <m:e>
                        <m:r>
                          <m:t>ν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e>
                </m:d>
                <m:r>
                  <m:rPr>
                    <m:sty m:val="p"/>
                  </m:rPr>
                  <m:t>×</m:t>
                </m:r>
                <m:nary>
                  <m:naryPr>
                    <m:chr m:val="∏"/>
                    <m:limLoc m:val="undOvr"/>
                    <m:subHide m:val="off"/>
                    <m:supHide m:val="on"/>
                  </m:naryPr>
                  <m:sub>
                    <m:r>
                      <m:t>y</m:t>
                    </m:r>
                    <m:r>
                      <m:rPr>
                        <m:sty m:val="p"/>
                      </m:rPr>
                      <m:t>∈</m:t>
                    </m:r>
                    <m:sSub>
                      <m:e>
                        <m:r>
                          <m:rPr>
                            <m:sty m:val="b"/>
                          </m:rPr>
                          <m:t>y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nor/>
                        <m:sty m:val="p"/>
                      </m:rPr>
                      <m:t>dnorm</m:t>
                    </m:r>
                  </m:e>
                </m:nary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Sup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ν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e>
                        </m:d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exp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bSup>
                              <m:e>
                                <m:r>
                                  <m:t>σ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den>
                        </m:f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  <m:sSub>
                          <m:e>
                            <m:r>
                              <m:t>ν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e>
                    </m:d>
                  </m:e>
                </m:d>
                <m:r>
                  <m:rPr>
                    <m:sty m:val="p"/>
                  </m:rPr>
                  <m:t>×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n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sSubSup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∈</m:t>
                        </m:r>
                        <m:sSub>
                          <m:e>
                            <m:r>
                              <m:rPr>
                                <m:sty m:val="b"/>
                              </m:rPr>
                              <m:t>y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  <m:sup>
                        <m:r>
                          <m:t>​</m:t>
                        </m:r>
                      </m:sup>
                      <m:e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y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sSub>
                                  <m:e>
                                    <m:r>
                                      <m:t>θ</m:t>
                                    </m:r>
                                  </m:e>
                                  <m:sub>
                                    <m:r>
                                      <m:t>1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nary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nor/>
                    <m:sty m:val="p"/>
                  </m:rPr>
                  <m:t>calculations from 6.3...</m:t>
                </m:r>
              </m:e>
            </m:mr>
            <m:mr>
              <m:e/>
              <m:e>
                <m:r>
                  <m:rPr>
                    <m:sty m:val="p"/>
                  </m:rPr>
                  <m:t>∝</m:t>
                </m:r>
                <m:r>
                  <m:rPr>
                    <m:nor/>
                    <m:sty m:val="p"/>
                  </m:rPr>
                  <m:t>inverse-gamma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ν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sSub>
                      <m:e>
                        <m:r>
                          <m:t>ν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e>
                </m:d>
              </m:e>
            </m:mr>
          </m:m>
        </m:oMath>
      </m:oMathPara>
    </w:p>
    <w:p>
      <w:pPr>
        <w:pStyle w:val="FirstParagraph"/>
      </w:pPr>
      <w:r>
        <w:t xml:space="preserve">where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sSub>
                  <m:e>
                    <m:r>
                      <m:t>ν</m:t>
                    </m:r>
                  </m:e>
                  <m:sub>
                    <m:r>
                      <m:t>n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sSub>
                  <m:e>
                    <m:r>
                      <m:t>ν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n</m:t>
                    </m:r>
                  </m:e>
                  <m:sub>
                    <m:r>
                      <m:t>1</m:t>
                    </m:r>
                  </m:sub>
                </m:sSub>
              </m:e>
            </m:mr>
            <m:mr>
              <m:e>
                <m:sSubSup>
                  <m:e>
                    <m:r>
                      <m:t>σ</m:t>
                    </m:r>
                  </m:e>
                  <m:sub>
                    <m:r>
                      <m:t>n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</m:sub>
                  <m:sup>
                    <m:r>
                      <m:t>2</m:t>
                    </m:r>
                  </m:sup>
                </m:sSubSup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</m:e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t>ν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b>
                    </m:sSub>
                  </m:den>
                </m:f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ν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Sup>
                      <m:e>
                        <m:r>
                          <m:t>σ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n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Sup>
                      <m:e>
                        <m:r>
                          <m:t>s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</m:e>
                </m:d>
              </m:e>
            </m:mr>
          </m:m>
        </m:oMath>
      </m:oMathPara>
    </w:p>
    <w:bookmarkEnd w:id="77"/>
    <w:bookmarkStart w:id="78" w:name="sigma2_2"/>
    <w:p>
      <w:pPr>
        <w:pStyle w:val="Heading4"/>
      </w:pPr>
      <m:oMath>
        <m:sSubSup>
          <m:e>
            <m:r>
              <m:t>σ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</w:p>
    <w:p>
      <w:pPr>
        <w:pStyle w:val="FirstParagraph"/>
      </w:pPr>
      <w:r>
        <w:t xml:space="preserve">Same as above, but with subscripts switched.</w:t>
      </w:r>
    </w:p>
    <w:bookmarkEnd w:id="78"/>
    <w:bookmarkEnd w:id="79"/>
    <w:bookmarkStart w:id="86" w:name="c-1"/>
    <w:p>
      <w:pPr>
        <w:pStyle w:val="Heading3"/>
      </w:pPr>
      <w:r>
        <w:t xml:space="preserve">7.2.3 c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glucose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</w:t>
      </w:r>
      <w:r>
        <w:br/>
      </w:r>
      <w:r>
        <w:br/>
      </w:r>
      <w:r>
        <w:rPr>
          <w:rStyle w:val="CommentTok"/>
        </w:rPr>
        <w:t xml:space="preserve"># Priors</w:t>
      </w:r>
      <w:r>
        <w:br/>
      </w:r>
      <w:r>
        <w:rPr>
          <w:rStyle w:val="NormalTok"/>
        </w:rPr>
        <w:t xml:space="preserve">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br/>
      </w:r>
      <w:r>
        <w:rPr>
          <w:rStyle w:val="NormalTok"/>
        </w:rPr>
        <w:t xml:space="preserve">t20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br/>
      </w:r>
      <w:r>
        <w:rPr>
          <w:rStyle w:val="NormalTok"/>
        </w:rPr>
        <w:t xml:space="preserve">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br/>
      </w:r>
      <w:r>
        <w:rPr>
          <w:rStyle w:val="CommentTok"/>
        </w:rPr>
        <w:t xml:space="preserve"># Values we'd like to store. Don't care about xs, p, sigmas</w:t>
      </w:r>
      <w:r>
        <w:br/>
      </w:r>
      <w:r>
        <w:rPr>
          <w:rStyle w:val="NormalTok"/>
        </w:rPr>
        <w:t xml:space="preserve">THETA1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(S)</w:t>
      </w:r>
      <w:r>
        <w:br/>
      </w:r>
      <w:r>
        <w:rPr>
          <w:rStyle w:val="NormalTok"/>
        </w:rPr>
        <w:t xml:space="preserve">THETA2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(S)</w:t>
      </w:r>
      <w:r>
        <w:br/>
      </w:r>
      <w:r>
        <w:rPr>
          <w:rStyle w:val="NormalTok"/>
        </w:rPr>
        <w:t xml:space="preserve">YPRED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(S) </w:t>
      </w:r>
      <w:r>
        <w:rPr>
          <w:rStyle w:val="CommentTok"/>
        </w:rPr>
        <w:t xml:space="preserve"># Posterior predictive</w:t>
      </w:r>
      <w:r>
        <w:br/>
      </w:r>
      <w:r>
        <w:br/>
      </w:r>
      <w:r>
        <w:rPr>
          <w:rStyle w:val="CommentTok"/>
        </w:rPr>
        <w:t xml:space="preserve"># Starting values</w:t>
      </w:r>
      <w:r>
        <w:br/>
      </w:r>
      <w:r>
        <w:rPr>
          <w:rStyle w:val="NormalTok"/>
        </w:rPr>
        <w:t xml:space="preserve">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theta1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s21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s22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(Y)</w:t>
      </w:r>
      <w:r>
        <w:br/>
      </w:r>
      <w:r>
        <w:br/>
      </w:r>
      <w:r>
        <w:rPr>
          <w:rStyle w:val="CommentTok"/>
        </w:rPr>
        <w:t xml:space="preserve"># Gibbs sampling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X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We calculate dnorm for each y so p1 and p2 are vectors</w:t>
      </w:r>
      <w:r>
        <w:br/>
      </w:r>
      <w:r>
        <w:rPr>
          <w:rStyle w:val="NormalTok"/>
        </w:rPr>
        <w:t xml:space="preserve">  p1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(Y, theta1,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(s21))</w:t>
      </w:r>
      <w:r>
        <w:br/>
      </w:r>
      <w:r>
        <w:rPr>
          <w:rStyle w:val="NormalTok"/>
        </w:rPr>
        <w:t xml:space="preserve">  p2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(Y, theta2,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(s22))</w:t>
      </w:r>
      <w:r>
        <w:br/>
      </w:r>
      <w:r>
        <w:rPr>
          <w:rStyle w:val="NormalTok"/>
        </w:rPr>
        <w:t xml:space="preserve">  bernoulli_p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p1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(p1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p2)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rbinom</w:t>
      </w:r>
      <w:r>
        <w:rPr>
          <w:rStyle w:val="NormalTok"/>
        </w:rPr>
        <w:t xml:space="preserve">(n,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bernoulli_p)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With X sample, calcuate group-specific summary statistics</w:t>
      </w:r>
      <w:r>
        <w:br/>
      </w:r>
      <w:r>
        <w:rPr>
          <w:rStyle w:val="NormalTok"/>
        </w:rPr>
        <w:t xml:space="preserve">  n1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  n2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n1</w:t>
      </w:r>
      <w:r>
        <w:br/>
      </w:r>
      <w:r>
        <w:rPr>
          <w:rStyle w:val="NormalTok"/>
        </w:rPr>
        <w:t xml:space="preserve">  y1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Y[X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y2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Y[X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ybar1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(y1)</w:t>
      </w:r>
      <w:r>
        <w:br/>
      </w:r>
      <w:r>
        <w:rPr>
          <w:rStyle w:val="NormalTok"/>
        </w:rPr>
        <w:t xml:space="preserve">  ybar2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(y2)</w:t>
      </w:r>
      <w:r>
        <w:br/>
      </w:r>
      <w:r>
        <w:rPr>
          <w:rStyle w:val="NormalTok"/>
        </w:rPr>
        <w:t xml:space="preserve">  yvar1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(y1)</w:t>
      </w:r>
      <w:r>
        <w:br/>
      </w:r>
      <w:r>
        <w:rPr>
          <w:rStyle w:val="NormalTok"/>
        </w:rPr>
        <w:t xml:space="preserve">  yvar2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(y2)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p</w:t>
      </w:r>
      <w:r>
        <w:br/>
      </w:r>
      <w:r>
        <w:rPr>
          <w:rStyle w:val="NormalTok"/>
        </w:rPr>
        <w:t xml:space="preserve">  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rbeta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n1, 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n2)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thetas</w:t>
      </w:r>
      <w:r>
        <w:br/>
      </w:r>
      <w:r>
        <w:rPr>
          <w:rStyle w:val="NormalTok"/>
        </w:rPr>
        <w:t xml:space="preserve">  t2n1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n1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s21)</w:t>
      </w:r>
      <w:r>
        <w:br/>
      </w:r>
      <w:r>
        <w:rPr>
          <w:rStyle w:val="NormalTok"/>
        </w:rPr>
        <w:t xml:space="preserve">  mun1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(mu0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n1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ybar1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s21)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n1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s21)</w:t>
      </w:r>
      <w:r>
        <w:br/>
      </w:r>
      <w:r>
        <w:rPr>
          <w:rStyle w:val="NormalTok"/>
        </w:rPr>
        <w:t xml:space="preserve">  theta1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mun1,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(t2n1))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t2n2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s22)</w:t>
      </w:r>
      <w:r>
        <w:br/>
      </w:r>
      <w:r>
        <w:rPr>
          <w:rStyle w:val="NormalTok"/>
        </w:rPr>
        <w:t xml:space="preserve">  mun2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(mu0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n2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ybar2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s22)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t20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s22)</w:t>
      </w:r>
      <w:r>
        <w:br/>
      </w:r>
      <w:r>
        <w:rPr>
          <w:rStyle w:val="NormalTok"/>
        </w:rPr>
        <w:t xml:space="preserve">  theta2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mun2,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(t2n2))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sigma^2s</w:t>
      </w:r>
      <w:r>
        <w:br/>
      </w:r>
      <w:r>
        <w:rPr>
          <w:rStyle w:val="NormalTok"/>
        </w:rPr>
        <w:t xml:space="preserve">  nun1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n1</w:t>
      </w:r>
      <w:r>
        <w:br/>
      </w:r>
      <w:r>
        <w:rPr>
          <w:rStyle w:val="NormalTok"/>
        </w:rPr>
        <w:t xml:space="preserve">  s2n1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yvar1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n1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(ybar1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theta1)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nun1</w:t>
      </w:r>
      <w:r>
        <w:br/>
      </w:r>
      <w:r>
        <w:rPr>
          <w:rStyle w:val="NormalTok"/>
        </w:rPr>
        <w:t xml:space="preserve">  s21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nun1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s2n1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nun1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nun2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n2</w:t>
      </w:r>
      <w:r>
        <w:br/>
      </w:r>
      <w:r>
        <w:rPr>
          <w:rStyle w:val="NormalTok"/>
        </w:rPr>
        <w:t xml:space="preserve">  s2n2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(n2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yvar2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n2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(ybar2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theta2)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nun2</w:t>
      </w:r>
      <w:r>
        <w:br/>
      </w:r>
      <w:r>
        <w:rPr>
          <w:rStyle w:val="NormalTok"/>
        </w:rPr>
        <w:t xml:space="preserve">  s22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nun2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s2n2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nun2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posterior predictive</w:t>
      </w:r>
      <w:r>
        <w:br/>
      </w:r>
      <w:r>
        <w:rPr>
          <w:rStyle w:val="NormalTok"/>
        </w:rPr>
        <w:t xml:space="preserve">  xpred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p</w:t>
      </w:r>
      <w:r>
        <w:br/>
      </w:r>
      <w:r>
        <w:rPr>
          <w:rStyle w:val="NormalTok"/>
        </w:rPr>
        <w:t xml:space="preserve">  ypred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ifelse</w:t>
      </w:r>
      <w:r>
        <w:rPr>
          <w:rStyle w:val="NormalTok"/>
        </w:rPr>
        <w:t xml:space="preserve">(xpred,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theta1,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(s21)),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theta2,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(s22)))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Store values</w:t>
      </w:r>
      <w:r>
        <w:br/>
      </w:r>
      <w:r>
        <w:rPr>
          <w:rStyle w:val="NormalTok"/>
        </w:rPr>
        <w:t xml:space="preserve">  THETA1[s]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theta1</w:t>
      </w:r>
      <w:r>
        <w:br/>
      </w:r>
      <w:r>
        <w:rPr>
          <w:rStyle w:val="NormalTok"/>
        </w:rPr>
        <w:t xml:space="preserve">  THETA2[s]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theta2</w:t>
      </w:r>
      <w:r>
        <w:br/>
      </w:r>
      <w:r>
        <w:rPr>
          <w:rStyle w:val="NormalTok"/>
        </w:rPr>
        <w:t xml:space="preserve">  YPRED[s]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ypred</w:t>
      </w:r>
      <w:r>
        <w:br/>
      </w:r>
      <w:r>
        <w:rPr>
          <w:rStyle w:val="NormalTok"/>
        </w:rPr>
        <w:t xml:space="preserve">}</w:t>
      </w:r>
    </w:p>
    <w:p>
      <w:pPr>
        <w:pStyle w:val="SourceCode"/>
      </w:pPr>
      <w:r>
        <w:rPr>
          <w:rStyle w:val="NormalTok"/>
        </w:rPr>
        <w:t xml:space="preserve">THETAMIN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pmin</w:t>
      </w:r>
      <w:r>
        <w:rPr>
          <w:rStyle w:val="NormalTok"/>
        </w:rPr>
        <w:t xml:space="preserve">(THETA1, THETA2)</w:t>
      </w:r>
      <w:r>
        <w:br/>
      </w:r>
      <w:r>
        <w:rPr>
          <w:rStyle w:val="NormalTok"/>
        </w:rPr>
        <w:t xml:space="preserve">THETAMAX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pmax</w:t>
      </w:r>
      <w:r>
        <w:rPr>
          <w:rStyle w:val="NormalTok"/>
        </w:rPr>
        <w:t xml:space="preserve">(THETA1, THETA2)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(coda)</w:t>
      </w:r>
      <w:r>
        <w:br/>
      </w:r>
      <w:r>
        <w:br/>
      </w:r>
      <w:r>
        <w:rPr>
          <w:rStyle w:val="FunctionTok"/>
        </w:rPr>
        <w:t xml:space="preserve">acf</w:t>
      </w:r>
      <w:r>
        <w:rPr>
          <w:rStyle w:val="NormalTok"/>
        </w:rPr>
        <w:t xml:space="preserve">(THETAMIN)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6_files/figure-docx/unnamed-chunk-18-1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FunctionTok"/>
        </w:rPr>
        <w:t xml:space="preserve">effectiveSize</w:t>
      </w:r>
      <w:r>
        <w:rPr>
          <w:rStyle w:val="NormalTok"/>
        </w:rPr>
        <w:t xml:space="preserve">(THETAMIN)</w:t>
      </w:r>
      <w:r>
        <w:br/>
      </w:r>
      <w:r>
        <w:rPr>
          <w:rStyle w:val="CommentTok"/>
        </w:rPr>
        <w:t xml:space="preserve">#&gt;     var1 </w:t>
      </w:r>
      <w:r>
        <w:br/>
      </w:r>
      <w:r>
        <w:rPr>
          <w:rStyle w:val="CommentTok"/>
        </w:rPr>
        <w:t xml:space="preserve">#&gt; 534.7286</w:t>
      </w:r>
      <w:r>
        <w:br/>
      </w:r>
      <w:r>
        <w:br/>
      </w:r>
      <w:r>
        <w:rPr>
          <w:rStyle w:val="FunctionTok"/>
        </w:rPr>
        <w:t xml:space="preserve">acf</w:t>
      </w:r>
      <w:r>
        <w:rPr>
          <w:rStyle w:val="NormalTok"/>
        </w:rPr>
        <w:t xml:space="preserve">(THETAMAX)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6_files/figure-docx/unnamed-chunk-18-2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FunctionTok"/>
        </w:rPr>
        <w:t xml:space="preserve">effectiveSize</w:t>
      </w:r>
      <w:r>
        <w:rPr>
          <w:rStyle w:val="NormalTok"/>
        </w:rPr>
        <w:t xml:space="preserve">(THETAMAX)</w:t>
      </w:r>
      <w:r>
        <w:br/>
      </w:r>
      <w:r>
        <w:rPr>
          <w:rStyle w:val="CommentTok"/>
        </w:rPr>
        <w:t xml:space="preserve">#&gt;     var1 </w:t>
      </w:r>
      <w:r>
        <w:br/>
      </w:r>
      <w:r>
        <w:rPr>
          <w:rStyle w:val="CommentTok"/>
        </w:rPr>
        <w:t xml:space="preserve">#&gt; 227.5474</w:t>
      </w:r>
    </w:p>
    <w:p>
      <w:pPr>
        <w:pStyle w:val="FirstParagraph"/>
      </w:pPr>
      <w:r>
        <w:t xml:space="preserve">These samples are actually highly autocorrelated, hence the minimum effective</w:t>
      </w:r>
      <w:r>
        <w:t xml:space="preserve"> </w:t>
      </w:r>
      <w:r>
        <w:t xml:space="preserve">sample sizes. However, the purpose of calculating the</w:t>
      </w:r>
      <w:r>
        <w:t xml:space="preserve"> </w:t>
      </w:r>
      <w:r>
        <w:t xml:space="preserve">autocorrelation of the minimum and maximum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unclear.</w:t>
      </w:r>
    </w:p>
    <w:bookmarkEnd w:id="86"/>
    <w:bookmarkStart w:id="93" w:name="d-1"/>
    <w:p>
      <w:pPr>
        <w:pStyle w:val="Heading3"/>
      </w:pPr>
      <w:r>
        <w:t xml:space="preserve">7.2.4 d</w:t>
      </w:r>
    </w:p>
    <w:p>
      <w:pPr>
        <w:pStyle w:val="SourceCode"/>
      </w:pPr>
      <w:r>
        <w:rPr>
          <w:rStyle w:val="NormalTok"/>
        </w:rPr>
        <w:t xml:space="preserve">YCOMP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YPRED, </w:t>
      </w:r>
      <w:r>
        <w:rPr>
          <w:rStyle w:val="AttributeTok"/>
        </w:rPr>
        <w:t xml:space="preserve">dataset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'predictive'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dataset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'original'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(YCOMP,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dataset))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geom_density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6_files/figure-docx/unnamed-chunk-19-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Based on the very close correspondence with the densities of the original and</w:t>
      </w:r>
      <w:r>
        <w:t xml:space="preserve"> </w:t>
      </w:r>
      <w:r>
        <w:t xml:space="preserve">posterior predictive dataset, it seems like this mixture model fits very well.</w:t>
      </w:r>
    </w:p>
    <w:bookmarkStart w:id="92" w:name="refs"/>
    <w:bookmarkStart w:id="91" w:name="ref-marmer_gibbs"/>
    <w:p>
      <w:pPr>
        <w:pStyle w:val="Bibliography"/>
      </w:pPr>
      <w:r>
        <w:t xml:space="preserve">Marmer, Vadim. 2010.</w:t>
      </w:r>
      <w:r>
        <w:t xml:space="preserve"> </w:t>
      </w:r>
      <w:r>
        <w:t xml:space="preserve">“The Gibbs Sampler.”</w:t>
      </w:r>
      <w:r>
        <w:t xml:space="preserve"> </w:t>
      </w:r>
      <w:hyperlink r:id="rId90">
        <w:r>
          <w:rPr>
            <w:rStyle w:val="Hyperlink"/>
          </w:rPr>
          <w:t xml:space="preserve">http://faculty.arts.ubc.ca/vmarmer/econ627/627_10_02.pdf</w:t>
        </w:r>
      </w:hyperlink>
      <w:r>
        <w:t xml:space="preserve">.</w:t>
      </w:r>
    </w:p>
    <w:bookmarkEnd w:id="91"/>
    <w:bookmarkEnd w:id="92"/>
    <w:bookmarkEnd w:id="93"/>
    <w:bookmarkEnd w:id="94"/>
    <w:bookmarkEnd w:id="9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4" Target="media/rId64.png" /><Relationship Type="http://schemas.openxmlformats.org/officeDocument/2006/relationships/image" Id="rId69" Target="media/rId69.png" /><Relationship Type="http://schemas.openxmlformats.org/officeDocument/2006/relationships/image" Id="rId80" Target="media/rId80.png" /><Relationship Type="http://schemas.openxmlformats.org/officeDocument/2006/relationships/image" Id="rId83" Target="media/rId83.png" /><Relationship Type="http://schemas.openxmlformats.org/officeDocument/2006/relationships/image" Id="rId87" Target="media/rId87.png" /><Relationship Type="http://schemas.openxmlformats.org/officeDocument/2006/relationships/image" Id="rId21" Target="media/rId21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hyperlink" Id="rId90" Target="http://faculty.arts.ubc.ca/vmarmer/econ627/627_10_02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://faculty.arts.ubc.ca/vmarmer/econ627/627_10_02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Posterior approximation with the Gibbs sampler</dc:title>
  <dc:creator>Jesse Mu</dc:creator>
  <cp:keywords/>
  <dcterms:created xsi:type="dcterms:W3CDTF">2026-01-09T09:24:48Z</dcterms:created>
  <dcterms:modified xsi:type="dcterms:W3CDTF">2026-01-09T09:24:48Z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omments">
    <vt:lpwstr/>
  </property>
  <property fmtid="{D5CDD505-2E9C-101B-9397-08002B2CF9AE}" pid="7" name="date">
    <vt:lpwstr>2016-11-04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