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27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The Normal Model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2016-10-07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the-normal-model"/>
    <w:p>
      <w:pPr>
        <w:pStyle w:val="Heading1"/>
      </w:pPr>
      <w:r>
        <w:t xml:space="preserve">1. The normal model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normal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mean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(and thus</w:t>
      </w:r>
      <w:r>
        <w:t xml:space="preserve"> </w:t>
      </w:r>
      <w:r>
        <w:t xml:space="preserve">standard deviation</w:t>
      </w:r>
      <w:r>
        <w:t xml:space="preserve"> </w:t>
      </w:r>
      <m:oMath>
        <m:r>
          <m:t>σ</m:t>
        </m:r>
      </m:oMath>
      <w:r>
        <w:t xml:space="preserve">) we denote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∼</m:t>
          </m:r>
          <m:r>
            <m:rPr>
              <m:sty m:val="p"/>
              <m:scr m:val="script"/>
            </m:rPr>
            <m:t>N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PDF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  <m:r>
                    <m:t>σ</m:t>
                  </m:r>
                </m:e>
              </m:rad>
            </m:den>
          </m:f>
          <m:r>
            <m:rPr>
              <m:nor/>
              <m:sty m:val="p"/>
            </m:rPr>
            <m:t>exp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f>
                <m:fPr>
                  <m:type m:val="bar"/>
                </m:fPr>
                <m:num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θ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d>
        </m:oMath>
      </m:oMathPara>
    </w:p>
    <w:p>
      <w:pPr>
        <w:pStyle w:val="FirstParagraph"/>
      </w:pPr>
      <w:r>
        <w:t xml:space="preserve">Due to the central limit theorem, the normal model is used all the time to model</w:t>
      </w:r>
      <w:r>
        <w:t xml:space="preserve"> </w:t>
      </w:r>
      <w:r>
        <w:t xml:space="preserve">sample averages or values known to be the additive result of several random</w:t>
      </w:r>
      <w:r>
        <w:t xml:space="preserve"> </w:t>
      </w:r>
      <w:r>
        <w:t xml:space="preserve">variables.</w:t>
      </w:r>
    </w:p>
    <w:p>
      <w:pPr>
        <w:pStyle w:val="Compact"/>
        <w:numPr>
          <w:ilvl w:val="0"/>
          <w:numId w:val="1001"/>
        </w:numPr>
      </w:pPr>
      <w:r>
        <w:t xml:space="preserve">It’s useful to remember the percentage of values lying within 1, 2, or 3</w:t>
      </w:r>
      <w:r>
        <w:t xml:space="preserve"> </w:t>
      </w:r>
      <w:r>
        <w:t xml:space="preserve">standard deviations of the mean when constructing priors: 68, 95, and 99.7%,</w:t>
      </w:r>
      <w:r>
        <w:t xml:space="preserve"> </w:t>
      </w:r>
      <w:r>
        <w:t xml:space="preserve">respectively.</w:t>
      </w:r>
    </w:p>
    <w:bookmarkEnd w:id="20"/>
    <w:bookmarkStart w:id="24" w:name="Xaccc0ee11da2c91971f50fae1629bb232aaf3b5"/>
    <w:p>
      <w:pPr>
        <w:pStyle w:val="Heading1"/>
      </w:pPr>
      <w:r>
        <w:t xml:space="preserve">2. Inference for the mean, conditional on the variance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There are two parameters in the normal model. For simplicity, let’s first assume</w:t>
      </w:r>
      <w:r>
        <w:t xml:space="preserve"> </w:t>
      </w:r>
      <w:r>
        <w:t xml:space="preserve">that the variance is known. Later we will show how we can perform inference</w:t>
      </w:r>
      <w:r>
        <w:t xml:space="preserve"> </w:t>
      </w:r>
      <w:r>
        <w:t xml:space="preserve">jointly for the mean and variance, but this result will still be useful</w:t>
      </w:r>
      <w:r>
        <w:t xml:space="preserve"> </w:t>
      </w:r>
      <w:r>
        <w:t xml:space="preserve">especially in Chapter 6, where Gibbs sampling requires full conditional</w:t>
      </w:r>
      <w:r>
        <w:t xml:space="preserve"> </w:t>
      </w:r>
      <w:r>
        <w:t xml:space="preserve">distributions of individual parameters.</w:t>
      </w:r>
    </w:p>
    <w:p>
      <w:pPr>
        <w:pStyle w:val="BodyText"/>
      </w:pPr>
      <w:r>
        <w:t xml:space="preserve">To do inference assuming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known, we need to identify the sampling</w:t>
      </w:r>
      <w:r>
        <w:t xml:space="preserve"> </w:t>
      </w:r>
      <w:r>
        <w:t xml:space="preserve">distribution and prior distribution, since we must calculate</w:t>
      </w:r>
    </w:p>
    <w:p>
      <w:pPr>
        <w:pStyle w:val="BodyText"/>
      </w:pPr>
    </w:p>
    <w:p>
      <w:pPr>
        <w:pStyle w:val="BodyText"/>
      </w:pPr>
      <w:r>
        <w:t xml:space="preserve">For the sampling distribution,</w:t>
      </w:r>
    </w:p>
    <w:p>
      <w:pPr>
        <w:pStyle w:val="BodyText"/>
      </w:pPr>
    </w:p>
    <w:p>
      <w:pPr>
        <w:pStyle w:val="BodyText"/>
      </w:pPr>
      <w:r>
        <w:t xml:space="preserve">From this we know two things:</w:t>
      </w:r>
    </w:p>
    <w:p>
      <w:pPr>
        <w:pStyle w:val="Compact"/>
        <w:numPr>
          <w:ilvl w:val="0"/>
          <w:numId w:val="1002"/>
        </w:numPr>
      </w:pP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∝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∣</m:t>
            </m:r>
            <m:r>
              <m:t>θ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depends only on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∑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}</m:t>
        </m:r>
      </m:oMath>
      <w:r>
        <w:t xml:space="preserve">, so that is a sufficient statistic, as is</w:t>
      </w:r>
      <w:r>
        <w:t xml:space="preserve"> </w:t>
      </w:r>
      <m:oMath>
        <m:r>
          <m:rPr>
            <m:sty m:val="p"/>
          </m:rPr>
          <m:t>{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,</m:t>
        </m:r>
        <m:sSup>
          <m:e>
            <m:r>
              <m:t>s</m:t>
            </m:r>
          </m:e>
          <m:sup>
            <m:r>
              <m:t>2</m:t>
            </m:r>
          </m:sup>
        </m:sSup>
        <m:r>
          <m:rPr>
            <m:sty m:val="p"/>
          </m:rPr>
          <m:t>}</m:t>
        </m:r>
      </m:oMath>
      <w:r>
        <w:t xml:space="preserve"> </w:t>
      </w:r>
      <w:r>
        <w:t xml:space="preserve">(from</w:t>
      </w:r>
      <w:r>
        <w:t xml:space="preserve"> </w:t>
      </w:r>
      <w:r>
        <w:t xml:space="preserve">which</w:t>
      </w:r>
      <w:r>
        <w:t xml:space="preserve"> </w:t>
      </w:r>
      <m:oMath>
        <m:r>
          <m:rPr>
            <m:sty m:val="p"/>
          </m:rPr>
          <m:t>∑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∑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recoverable).</w:t>
      </w:r>
    </w:p>
    <w:p>
      <w:pPr>
        <w:pStyle w:val="Compact"/>
        <w:numPr>
          <w:ilvl w:val="0"/>
          <w:numId w:val="1002"/>
        </w:numPr>
      </w:pPr>
      <w:r>
        <w:t xml:space="preserve">For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to be conjugate, the posterior needs to have</w:t>
      </w:r>
      <w:r>
        <w:t xml:space="preserve"> </w:t>
      </w:r>
      <w:r>
        <w:t xml:space="preserve">quadratic terms in the exponential function, i.e. </w:t>
      </w:r>
      <m:oMath>
        <m:r>
          <m:rPr>
            <m:nor/>
            <m:sty m:val="p"/>
          </m:rPr>
          <m:t>exp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c</m:t>
                </m:r>
              </m:e>
              <m:sub>
                <m:r>
                  <m:t>1</m:t>
                </m:r>
              </m:sub>
            </m:sSub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θ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</m:e>
              <m:sup>
                <m:r>
                  <m:t>2</m:t>
                </m:r>
              </m:sup>
            </m:sSup>
          </m:e>
        </m:d>
      </m:oMath>
    </w:p>
    <w:p>
      <w:pPr>
        <w:pStyle w:val="FirstParagraph"/>
      </w:pPr>
      <w:r>
        <w:t xml:space="preserve">In particular, 2 is a new strategy for trying to identify the conjugate prior</w:t>
      </w:r>
      <w:r>
        <w:t xml:space="preserve"> </w:t>
      </w:r>
      <w:r>
        <w:t xml:space="preserve">family. Since the exponential terms in the sampling model and prior distribution</w:t>
      </w:r>
      <w:r>
        <w:t xml:space="preserve"> </w:t>
      </w:r>
      <w:r>
        <w:t xml:space="preserve">must be combined to produce the same class of posterior distribution, we must</w:t>
      </w:r>
      <w:r>
        <w:t xml:space="preserve"> </w:t>
      </w:r>
      <w:r>
        <w:t xml:space="preserve">pick a prior distribution</w:t>
      </w:r>
      <w:r>
        <w:t xml:space="preserve"> </w:t>
      </w:r>
      <m:oMath>
        <m:r>
          <m:rPr>
            <m:sty m:val="p"/>
          </m:rPr>
          <m:t>∝</m:t>
        </m:r>
        <m:r>
          <m:rPr>
            <m:nor/>
            <m:sty m:val="p"/>
          </m:rPr>
          <m:t>exp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c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θ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  <w:r>
        <w:t xml:space="preserve"> </w:t>
      </w:r>
      <w:r>
        <w:t xml:space="preserve">Conveniently, normal distributions themselves have these terms. We can verify</w:t>
      </w:r>
      <w:r>
        <w:t xml:space="preserve"> </w:t>
      </w:r>
      <w:r>
        <w:t xml:space="preserve">that the normal family is conjugate to the normal sampling model.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θ</m:t>
        </m:r>
        <m:r>
          <m:rPr>
            <m:sty m:val="p"/>
          </m:rPr>
          <m:t>∣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τ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e>
        </m:d>
      </m:oMath>
      <w:r>
        <w:t xml:space="preserve"> </w:t>
      </w:r>
      <w:r>
        <w:t xml:space="preserve">(interpretations of the prior parameters comes later):</w:t>
      </w:r>
    </w:p>
    <w:p>
      <w:pPr>
        <w:pStyle w:val="BodyText"/>
      </w:pPr>
    </w:p>
    <w:p>
      <w:pPr>
        <w:pStyle w:val="BodyText"/>
      </w:pPr>
      <w:r>
        <w:t xml:space="preserve">To simplify this, let</w:t>
      </w:r>
    </w:p>
    <w:p>
      <w:pPr>
        <w:pStyle w:val="Compact"/>
        <w:numPr>
          <w:ilvl w:val="0"/>
          <w:numId w:val="1003"/>
        </w:numPr>
      </w:pP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Sup>
              <m:e>
                <m:r>
                  <m:t>τ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n</m:t>
            </m:r>
          </m:num>
          <m:den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Compact"/>
        <w:numPr>
          <w:ilvl w:val="0"/>
          <w:numId w:val="1003"/>
        </w:numPr>
      </w:pPr>
      <m:oMath>
        <m:r>
          <m:t>b</m:t>
        </m:r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</m:num>
          <m:den>
            <m:sSubSup>
              <m:e>
                <m:r>
                  <m:t>τ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∑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num>
          <m:den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FirstParagraph"/>
      </w:pPr>
      <w:r>
        <w:t xml:space="preserve">Then</w:t>
      </w:r>
    </w:p>
    <w:p>
      <w:pPr>
        <w:pStyle w:val="BodyText"/>
      </w:pPr>
    </w:p>
    <w:p>
      <w:pPr>
        <w:pStyle w:val="BodyText"/>
      </w:pPr>
      <w:r>
        <w:t xml:space="preserve">Let these posterior parameters be</w:t>
      </w:r>
      <w:r>
        <w:t xml:space="preserve"> </w:t>
      </w:r>
      <m:oMath>
        <m:sSub>
          <m:e>
            <m:r>
              <m:t>μ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τ</m:t>
            </m:r>
          </m:e>
          <m:sub>
            <m:r>
              <m:t>n</m:t>
            </m:r>
          </m:sub>
          <m:sup>
            <m:r>
              <m:t>2</m:t>
            </m:r>
          </m:sup>
        </m:sSubSup>
      </m:oMath>
      <w:r>
        <w:t xml:space="preserve">. In later chapters we</w:t>
      </w:r>
      <w:r>
        <w:t xml:space="preserve"> </w:t>
      </w:r>
      <w:r>
        <w:t xml:space="preserve">will commonly follow this naming scheme: initial guesses of parameters are</w:t>
      </w:r>
      <w:r>
        <w:t xml:space="preserve"> </w:t>
      </w:r>
      <w:r>
        <w:t xml:space="preserve">denoted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, then the posterior parameters are denoted</w:t>
      </w:r>
      <w:r>
        <w:t xml:space="preserve"> </w:t>
      </w:r>
      <m:oMath>
        <m:sSub>
          <m:e>
            <m:r>
              <m:t>θ</m:t>
            </m:r>
          </m:e>
          <m:sub>
            <m:r>
              <m:t>n</m:t>
            </m:r>
          </m:sub>
        </m:sSub>
      </m:oMath>
      <w:r>
        <w:t xml:space="preserve">, i.e.</w:t>
      </w:r>
      <w:r>
        <w:t xml:space="preserve"> </w:t>
      </w:r>
      <w:r>
        <w:t xml:space="preserve">the updated parameters after a sample of size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t xml:space="preserve">Specifically,</w:t>
      </w:r>
    </w:p>
    <w:p>
      <w:pPr>
        <w:pStyle w:val="BodyText"/>
      </w:pPr>
    </w:p>
    <w:p>
      <w:pPr>
        <w:pStyle w:val="BodyText"/>
      </w:pPr>
      <w:r>
        <w:t xml:space="preserve">So</w:t>
      </w:r>
      <w:r>
        <w:t xml:space="preserve"> </w:t>
      </w:r>
      <m:oMath>
        <m:r>
          <m:t>θ</m:t>
        </m:r>
        <m:r>
          <m:rPr>
            <m:sty m:val="p"/>
          </m:rPr>
          <m:t>∣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τ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d>
      </m:oMath>
      <w:r>
        <w:t xml:space="preserve">.</w:t>
      </w:r>
    </w:p>
    <w:bookmarkStart w:id="21" w:name="combining-information"/>
    <w:p>
      <w:pPr>
        <w:pStyle w:val="Heading2"/>
      </w:pPr>
      <w:r>
        <w:t xml:space="preserve">2.1 Combining information</w:t>
      </w:r>
    </w:p>
    <w:p>
      <w:pPr>
        <w:pStyle w:val="FirstParagraph"/>
      </w:pPr>
      <w:r>
        <w:t xml:space="preserve">Notice in the posterior parameters the frequency of</w:t>
      </w:r>
      <w:r>
        <w:t xml:space="preserve"> </w:t>
      </w:r>
      <w:r>
        <w:rPr>
          <w:i/>
          <w:iCs/>
        </w:rPr>
        <w:t xml:space="preserve">inverse variances</w:t>
      </w:r>
      <w:r>
        <w:t xml:space="preserve"> </w:t>
      </w:r>
      <w:r>
        <w:t xml:space="preserve">i.e.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bSup>
              <m:e>
                <m:r>
                  <m:t>τ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n</m:t>
            </m:r>
          </m:num>
          <m:den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This hints at the importance of using</w:t>
      </w:r>
      <w:r>
        <w:t xml:space="preserve"> </w:t>
      </w:r>
      <w:r>
        <w:rPr>
          <w:b/>
          <w:bCs/>
        </w:rPr>
        <w:t xml:space="preserve">precision</w:t>
      </w:r>
      <w:r>
        <w:t xml:space="preserve"> </w:t>
      </w:r>
      <w:r>
        <w:t xml:space="preserve">to understand and parameterize our normal prior and posterior</w:t>
      </w:r>
      <w:r>
        <w:t xml:space="preserve"> </w:t>
      </w:r>
      <w:r>
        <w:t xml:space="preserve">distributions. Specifically, it is much more concise to express the above</w:t>
      </w:r>
      <w:r>
        <w:t xml:space="preserve"> </w:t>
      </w:r>
      <w:r>
        <w:t xml:space="preserve">parameters in terms of variance. Specifically, if we let</w:t>
      </w:r>
      <w:r>
        <w:t xml:space="preserve"> </w:t>
      </w:r>
      <m:oMath>
        <m:acc>
          <m:accPr>
            <m:chr m:val="̃"/>
          </m:accPr>
          <m:e>
            <m:sSubSup>
              <m:e>
                <m:r>
                  <m:t>τ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sSubSup>
          <m:e>
            <m:r>
              <m:t>τ</m:t>
            </m:r>
          </m:e>
          <m:sub>
            <m:r>
              <m:t>n</m:t>
            </m:r>
          </m:sub>
          <m:sup>
            <m:r>
              <m:t>2</m:t>
            </m:r>
          </m:sup>
        </m:sSubSup>
      </m:oMath>
      <w:r>
        <w:t xml:space="preserve">, i.e. the posterior</w:t>
      </w:r>
      <w:r>
        <w:t xml:space="preserve"> </w:t>
      </w:r>
      <w:r>
        <w:rPr>
          <w:i/>
          <w:iCs/>
        </w:rPr>
        <w:t xml:space="preserve">precision</w:t>
      </w:r>
      <w:r>
        <w:t xml:space="preserve">, and similar tildes for the over variables,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sSubSup>
                <m:e>
                  <m:r>
                    <m:t>τ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sSubSup>
                <m:e>
                  <m:r>
                    <m:t>τ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</m:e>
          </m:acc>
          <m:r>
            <m:rPr>
              <m:sty m:val="p"/>
            </m:rPr>
            <m:t>+</m:t>
          </m:r>
          <m:r>
            <m:t>n</m:t>
          </m:r>
          <m:acc>
            <m:accPr>
              <m:chr m:val="̃"/>
            </m:accPr>
            <m:e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acc>
        </m:oMath>
      </m:oMathPara>
    </w:p>
    <w:p>
      <w:pPr>
        <w:pStyle w:val="FirstParagraph"/>
      </w:pPr>
      <w:r>
        <w:t xml:space="preserve">So intuitively, our posterior precision is a combination of our prior belief in</w:t>
      </w:r>
      <w:r>
        <w:t xml:space="preserve"> </w:t>
      </w:r>
      <w:r>
        <w:t xml:space="preserve">the precision of the true population mean of the data, plus the (assumed known)</w:t>
      </w:r>
      <w:r>
        <w:t xml:space="preserve"> </w:t>
      </w:r>
      <w:r>
        <w:t xml:space="preserve">precision, where a larger sample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increases this precision.</w:t>
      </w:r>
    </w:p>
    <w:p>
      <w:pPr>
        <w:pStyle w:val="BodyText"/>
      </w:pPr>
      <w:r>
        <w:t xml:space="preserve">Using precision, the fact that</w:t>
      </w:r>
      <w:r>
        <w:t xml:space="preserve"> </w:t>
      </w:r>
      <m:oMath>
        <m:sSub>
          <m:e>
            <m:r>
              <m:t>μ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a weighted average of prior and sample</w:t>
      </w:r>
      <w:r>
        <w:t xml:space="preserve"> </w:t>
      </w:r>
      <w:r>
        <w:t xml:space="preserve">information becomes more clear. Notice</w:t>
      </w:r>
    </w:p>
    <w:p>
      <w:pPr>
        <w:pStyle w:val="BodyText"/>
      </w:pPr>
    </w:p>
    <w:p>
      <w:pPr>
        <w:pStyle w:val="BodyText"/>
      </w:pPr>
      <w:r>
        <w:t xml:space="preserve">So the posterior mean is a weighted average of the prior expectation of the mean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weighted by the precision of that mean</w:t>
      </w:r>
      <w:r>
        <w:t xml:space="preserve"> </w:t>
      </w:r>
      <m:oMath>
        <m:acc>
          <m:accPr>
            <m:chr m:val="̃"/>
          </m:accPr>
          <m:e>
            <m:sSubSup>
              <m:e>
                <m:r>
                  <m:t>τ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e>
        </m:acc>
      </m:oMath>
      <w:r>
        <w:t xml:space="preserve">, and the</w:t>
      </w:r>
      <w:r>
        <w:t xml:space="preserve"> </w:t>
      </w:r>
      <w:r>
        <w:t xml:space="preserve">observed sample mean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weighted by our sample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the (assumed</w:t>
      </w:r>
      <w:r>
        <w:t xml:space="preserve"> </w:t>
      </w:r>
      <w:r>
        <w:t xml:space="preserve">known) precision</w:t>
      </w:r>
      <w:r>
        <w:t xml:space="preserve"> </w:t>
      </w:r>
      <m:oMath>
        <m:acc>
          <m:accPr>
            <m:chr m:val="̃"/>
          </m:acc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acc>
      </m:oMath>
      <w:r>
        <w:t xml:space="preserve">.</w:t>
      </w:r>
    </w:p>
    <w:p>
      <w:pPr>
        <w:pStyle w:val="BodyText"/>
      </w:pPr>
      <w:r>
        <w:t xml:space="preserve">How do we select</w:t>
      </w:r>
      <w:r>
        <w:t xml:space="preserve"> </w:t>
      </w:r>
      <m:oMath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? One intuitive way to think about it (as we have</w:t>
      </w:r>
      <w:r>
        <w:t xml:space="preserve"> </w:t>
      </w:r>
      <w:r>
        <w:t xml:space="preserve">done with one-parameter models) is by treating our prior parameters for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as derived from</w:t>
      </w:r>
      <w:r>
        <w:t xml:space="preserve"> </w:t>
      </w:r>
      <m:oMath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prior</w:t>
      </w:r>
      <w:r>
        <w:t xml:space="preserve"> </w:t>
      </w:r>
      <w:r>
        <w:t xml:space="preserve">“observations”</w:t>
      </w:r>
      <w:r>
        <w:t xml:space="preserve"> </w:t>
      </w:r>
      <w:r>
        <w:t xml:space="preserve">from the same (or similar)</w:t>
      </w:r>
      <w:r>
        <w:t xml:space="preserve"> </w:t>
      </w:r>
      <w:r>
        <w:t xml:space="preserve">population that we are sampling from. Then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average of these prior</w:t>
      </w:r>
      <w:r>
        <w:t xml:space="preserve"> </w:t>
      </w:r>
      <w:r>
        <w:t xml:space="preserve">observations, and let</w:t>
      </w:r>
      <w:r>
        <w:t xml:space="preserve"> </w:t>
      </w:r>
      <m:oMath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the variance of the</w:t>
      </w:r>
      <w:r>
        <w:t xml:space="preserve"> </w:t>
      </w:r>
      <w:r>
        <w:rPr>
          <w:i/>
          <w:iCs/>
        </w:rPr>
        <w:t xml:space="preserve">mean</w:t>
      </w:r>
      <w:r>
        <w:t xml:space="preserve"> </w:t>
      </w:r>
      <w:r>
        <w:t xml:space="preserve">of these prior observations. Then the posterior mean simplifies quite nicely to:</w:t>
      </w:r>
    </w:p>
    <w:p>
      <w:pPr>
        <w:pStyle w:val="BodyText"/>
      </w:pPr>
    </w:p>
    <w:p>
      <w:pPr>
        <w:pStyle w:val="BodyText"/>
      </w:pPr>
      <w:r>
        <w:t xml:space="preserve">which is just a weighted average of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given the number of</w:t>
      </w:r>
      <w:r>
        <w:t xml:space="preserve"> </w:t>
      </w:r>
      <w:r>
        <w:t xml:space="preserve">prior</w:t>
      </w:r>
      <w:r>
        <w:t xml:space="preserve"> </w:t>
      </w:r>
      <w:r>
        <w:t xml:space="preserve">“observations”</w:t>
      </w:r>
      <w:r>
        <w:t xml:space="preserve"> </w:t>
      </w:r>
      <m:oMath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the sample size</w:t>
      </w:r>
      <w:r>
        <w:t xml:space="preserve"> </w:t>
      </w:r>
      <m:oMath>
        <m:r>
          <m:t>n</m:t>
        </m:r>
      </m:oMath>
      <w:r>
        <w:t xml:space="preserve">. We will take advantage of this when jointly estimating the mean and variance for</w:t>
      </w:r>
      <w:r>
        <w:t xml:space="preserve"> </w:t>
      </w:r>
      <w:r>
        <w:t xml:space="preserve">the normal model. The idea is to first estimate the variance, then assume that</w:t>
      </w:r>
      <w:r>
        <w:t xml:space="preserve"> </w:t>
      </w:r>
      <w:r>
        <w:t xml:space="preserve">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known such that</w:t>
      </w:r>
      <w:r>
        <w:t xml:space="preserve"> </w:t>
      </w:r>
      <m:oMath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can be</w:t>
      </w:r>
      <w:r>
        <w:t xml:space="preserve"> </w:t>
      </w:r>
      <w:r>
        <w:t xml:space="preserve">estimated.</w:t>
      </w:r>
    </w:p>
    <w:bookmarkEnd w:id="21"/>
    <w:bookmarkStart w:id="22" w:name="prediction"/>
    <w:p>
      <w:pPr>
        <w:pStyle w:val="Heading2"/>
      </w:pPr>
      <w:r>
        <w:t xml:space="preserve">2.2 Prediction</w:t>
      </w:r>
    </w:p>
    <w:p>
      <w:pPr>
        <w:pStyle w:val="FirstParagraph"/>
      </w:pPr>
      <w:r>
        <w:t xml:space="preserve">To obtain the posterior predictive distribution, instead of doing complex</w:t>
      </w:r>
      <w:r>
        <w:t xml:space="preserve"> </w:t>
      </w:r>
      <w:r>
        <w:t xml:space="preserve">integration, we can use a trick.</w:t>
      </w:r>
    </w:p>
    <w:p>
      <w:pPr>
        <w:pStyle w:val="BodyText"/>
      </w:pP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is normally distributed with mean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 This is equivalent to saying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=</m:t>
          </m:r>
          <m:r>
            <m:t>θ</m:t>
          </m:r>
          <m:r>
            <m:rPr>
              <m:sty m:val="p"/>
            </m:rPr>
            <m:t>+</m:t>
          </m:r>
          <m:acc>
            <m:accPr>
              <m:chr m:val="̃"/>
            </m:accPr>
            <m:e>
              <m:r>
                <m:t>ϵ</m:t>
              </m:r>
            </m:e>
          </m:acc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θ</m:t>
        </m:r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Sup>
          <m:e>
            <m:r>
              <m:t>τ</m:t>
            </m:r>
          </m:e>
          <m:sub>
            <m:r>
              <m:t>n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m:oMath>
        <m:acc>
          <m:accPr>
            <m:chr m:val="̃"/>
          </m:accPr>
          <m:e>
            <m:r>
              <m:t>ϵ</m:t>
            </m:r>
          </m:e>
        </m:acc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 So adding these normal distributions together gives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∣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∼</m:t>
          </m:r>
          <m:r>
            <m:rPr>
              <m:sty m:val="p"/>
              <m:scr m:val="script"/>
            </m:rPr>
            <m:t>N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μ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τ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</w:p>
    <w:bookmarkEnd w:id="22"/>
    <w:bookmarkStart w:id="23" w:name="example-midge-wing-data"/>
    <w:p>
      <w:pPr>
        <w:pStyle w:val="Heading2"/>
      </w:pPr>
      <w:r>
        <w:t xml:space="preserve">2.3 Example: Midge wing data</w:t>
      </w:r>
    </w:p>
    <w:p>
      <w:pPr>
        <w:pStyle w:val="FirstParagraph"/>
      </w:pPr>
      <w:r>
        <w:t xml:space="preserve">The wing lengths of 9 members of a species of</w:t>
      </w:r>
      <w:r>
        <w:t xml:space="preserve"> </w:t>
      </w:r>
      <w:r>
        <w:t xml:space="preserve">“midge”</w:t>
      </w:r>
      <w:r>
        <w:t xml:space="preserve"> </w:t>
      </w:r>
      <w:r>
        <w:t xml:space="preserve">are measured. We are</w:t>
      </w:r>
      <w:r>
        <w:t xml:space="preserve"> </w:t>
      </w:r>
      <w:r>
        <w:t xml:space="preserve">interested in estimates of the mean wing length and variance. Prior information</w:t>
      </w:r>
      <w:r>
        <w:t xml:space="preserve"> </w:t>
      </w:r>
      <w:r>
        <w:t xml:space="preserve">from other populations suggests that wing lengths are typically around 1.9mm, so</w:t>
      </w:r>
      <w:r>
        <w:t xml:space="preserve"> </w:t>
      </w:r>
      <w:r>
        <w:t xml:space="preserve">our initial estimate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1.9</m:t>
        </m:r>
      </m:oMath>
      <w:r>
        <w:t xml:space="preserve">. One way of assigning a prior estimate of the</w:t>
      </w:r>
      <w:r>
        <w:t xml:space="preserve"> </w:t>
      </w:r>
      <w:r>
        <w:t xml:space="preserve">variance of the mean</w:t>
      </w:r>
      <w:r>
        <w:t xml:space="preserve"> </w:t>
      </w:r>
      <m:oMath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is to pick the spread of the prior such that all</w:t>
      </w:r>
      <w:r>
        <w:t xml:space="preserve"> </w:t>
      </w:r>
      <w:r>
        <w:t xml:space="preserve">of its mass is above 0, since wing lengths can’t be negative. So we select</w:t>
      </w:r>
      <w:r>
        <w:t xml:space="preserve"> </w:t>
      </w:r>
      <m:oMath>
        <m:sSub>
          <m:e>
            <m:r>
              <m:t>τ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 2 standard deviations from 1.9 &gt; 0:</w:t>
      </w:r>
      <w:r>
        <w:t xml:space="preserve"> </w:t>
      </w:r>
      <m:oMath>
        <m:sSub>
          <m:e>
            <m:r>
              <m:t>τ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0.95</m:t>
        </m:r>
      </m:oMath>
      <w:r>
        <w:t xml:space="preserve">.</w:t>
      </w:r>
    </w:p>
    <w:p>
      <w:pPr>
        <w:pStyle w:val="BodyText"/>
      </w:pPr>
      <w:r>
        <w:t xml:space="preserve">Our data are: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1.64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1.70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1.72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1.74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1.90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2.08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</w:t>
      </w:r>
      <w:r>
        <w:br/>
      </w:r>
      <w:r>
        <w:rPr>
          <w:rStyle w:val="CommentTok"/>
        </w:rPr>
        <w:t xml:space="preserve">#&gt; [1] 1.804444</w:t>
      </w:r>
      <w:r>
        <w:br/>
      </w:r>
      <w:r>
        <w:rPr>
          <w:rStyle w:val="FunctionTok"/>
        </w:rPr>
        <w:t xml:space="preserve">var</w:t>
      </w:r>
      <w:r>
        <w:rPr>
          <w:rStyle w:val="NormalTok"/>
        </w:rPr>
        <w:t xml:space="preserve">(y)</w:t>
      </w:r>
      <w:r>
        <w:br/>
      </w:r>
      <w:r>
        <w:rPr>
          <w:rStyle w:val="CommentTok"/>
        </w:rPr>
        <w:t xml:space="preserve">#&gt; [1] 0.01687778</w:t>
      </w:r>
    </w:p>
    <w:p>
      <w:pPr>
        <w:pStyle w:val="FirstParagraph"/>
      </w:pPr>
      <w:r>
        <w:t xml:space="preserve">Since we are assuming for now that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known, let’s use</w:t>
      </w:r>
      <w:r>
        <w:t xml:space="preserve"> </w:t>
      </w:r>
      <m:oMath>
        <m:sSup>
          <m:e>
            <m:r>
              <m:t>s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Now calculating</w:t>
      </w:r>
      <w:r>
        <w:t xml:space="preserve"> </w:t>
      </w:r>
      <m:oMath>
        <m:sSub>
          <m:e>
            <m:r>
              <m:t>μ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Sup>
          <m:e>
            <m:r>
              <m:t>τ</m:t>
            </m:r>
          </m:e>
          <m:sub>
            <m:r>
              <m:t>n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is simply done by plugging in the relevant</w:t>
      </w:r>
      <w:r>
        <w:t xml:space="preserve"> </w:t>
      </w:r>
      <w:r>
        <w:t xml:space="preserve">formulas:</w:t>
      </w:r>
    </w:p>
    <w:p>
      <w:pPr>
        <w:pStyle w:val="BodyText"/>
      </w:pPr>
    </w:p>
    <w:p>
      <w:pPr>
        <w:pStyle w:val="SourceCode"/>
      </w:pP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1.805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0.002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1.717348 1.892652</w:t>
      </w:r>
    </w:p>
    <w:bookmarkEnd w:id="23"/>
    <w:bookmarkEnd w:id="24"/>
    <w:bookmarkStart w:id="36" w:name="X05351337620c938e0b537e20d376616a1f361fb"/>
    <w:p>
      <w:pPr>
        <w:pStyle w:val="Heading1"/>
      </w:pPr>
      <w:r>
        <w:t xml:space="preserve">3. Joint inference for the mean and variance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joint inference, we wish to compute the joint probability distribution of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given the data, which proceeds much like before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∣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p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θ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num>
            <m:den>
              <m:r>
                <m:t>p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</m:den>
          </m:f>
        </m:oMath>
      </m:oMathPara>
    </w:p>
    <w:p>
      <w:pPr>
        <w:pStyle w:val="FirstParagraph"/>
      </w:pPr>
      <w:r>
        <w:t xml:space="preserve">Notice that the only real difference in this two parameter case is the joint</w:t>
      </w:r>
      <w:r>
        <w:t xml:space="preserve"> </w:t>
      </w:r>
      <w:r>
        <w:t xml:space="preserve">prior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 which we should select a conjugate prior</w:t>
      </w:r>
      <w:r>
        <w:t xml:space="preserve"> </w:t>
      </w:r>
      <w:r>
        <w:t xml:space="preserve">distribution for to simplify posterior calculation.</w:t>
      </w:r>
    </w:p>
    <w:p>
      <w:pPr>
        <w:pStyle w:val="BodyText"/>
      </w:pPr>
      <w:r>
        <w:t xml:space="preserve">Notice that if we split up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then, from the</w:t>
      </w:r>
      <w:r>
        <w:t xml:space="preserve"> </w:t>
      </w:r>
      <w:r>
        <w:t xml:space="preserve">previous section, we already know that the normal distribution is a conjugate</w:t>
      </w:r>
      <w:r>
        <w:t xml:space="preserve"> </w:t>
      </w:r>
      <w:r>
        <w:t xml:space="preserve">prior for the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:</w:t>
      </w:r>
      <w:r>
        <w:t xml:space="preserve"> </w:t>
      </w:r>
      <m:oMath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τ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e>
        </m:d>
      </m:oMath>
      <w:r>
        <w:t xml:space="preserve">. With</w:t>
      </w:r>
      <w:r>
        <w:t xml:space="preserve"> </w:t>
      </w:r>
      <w:r>
        <w:t xml:space="preserve">this selection, we have</w:t>
      </w:r>
    </w:p>
    <w:p>
      <w:pPr>
        <w:pStyle w:val="BodyText"/>
      </w:pPr>
    </w:p>
    <w:p>
      <w:pPr>
        <w:pStyle w:val="BodyText"/>
      </w:pPr>
      <w:r>
        <w:t xml:space="preserve">Now if we let</w:t>
      </w:r>
      <w:r>
        <w:t xml:space="preserve"> </w:t>
      </w:r>
      <m:oMath>
        <m:sSub>
          <m:e>
            <m:r>
              <m:t>τ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depend on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as we explored in the previous</w:t>
      </w:r>
      <w:r>
        <w:t xml:space="preserve"> </w:t>
      </w:r>
      <w:r>
        <w:t xml:space="preserve">section, this simplifies calculations. If</w:t>
      </w:r>
      <w:r>
        <w:t xml:space="preserve"> </w:t>
      </w:r>
      <m:oMath>
        <m:sSub>
          <m:e>
            <m:r>
              <m:t>τ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not proportional to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then there is no good closed-form solution for a posterior</w:t>
      </w:r>
      <w:r>
        <w:t xml:space="preserve"> </w:t>
      </w:r>
      <w:r>
        <w:t xml:space="preserve">distribution, which is a</w:t>
      </w:r>
      <w:r>
        <w:t xml:space="preserve"> </w:t>
      </w:r>
      <w:r>
        <w:t xml:space="preserve">“semiconjugate”</w:t>
      </w:r>
      <w:r>
        <w:t xml:space="preserve"> </w:t>
      </w:r>
      <w:r>
        <w:t xml:space="preserve">prior; see Chapter 6 for details.</w:t>
      </w:r>
      <w:r>
        <w:t xml:space="preserve"> </w:t>
      </w:r>
      <w:r>
        <w:t xml:space="preserve">Specifically, if we let</w:t>
      </w:r>
      <w:r>
        <w:t xml:space="preserve"> </w:t>
      </w:r>
      <m:oMath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b>
          <m:e>
            <m:r>
              <m:t>κ</m:t>
            </m:r>
          </m:e>
          <m:sub>
            <m:r>
              <m:t>0</m:t>
            </m:r>
          </m:sub>
        </m:sSub>
        <m:r>
          <m:rPr>
            <m:sty m:val="p"/>
          </m:rPr>
          <m:t>⟹</m:t>
        </m:r>
        <m:sSub>
          <m:e>
            <m:r>
              <m:t>τ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sSub>
              <m:e>
                <m:r>
                  <m:t>κ</m:t>
                </m:r>
              </m:e>
              <m:sub>
                <m:r>
                  <m:t>0</m:t>
                </m:r>
              </m:sub>
            </m:sSub>
          </m:e>
        </m:rad>
      </m:oMath>
      <w:r>
        <w:t xml:space="preserve">, i.e. </w:t>
      </w:r>
      <m:oMath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is the variance of the mean of a sample of</w:t>
      </w:r>
      <w:r>
        <w:t xml:space="preserve"> </w:t>
      </w:r>
      <w:r>
        <w:t xml:space="preserve">size</w:t>
      </w:r>
      <w:r>
        <w:t xml:space="preserve"> </w:t>
      </w:r>
      <m:oMath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from a population with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</w:p>
    <w:p>
      <w:pPr>
        <w:pStyle w:val="BodyText"/>
      </w:pPr>
      <w:r>
        <w:t xml:space="preserve">Now we need to specify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 We are told that the Gamma distribtion</w:t>
      </w:r>
      <w:r>
        <w:t xml:space="preserve"> </w:t>
      </w:r>
      <w:r>
        <w:t xml:space="preserve">(with support on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∞</m:t>
            </m:r>
          </m:e>
        </m:d>
      </m:oMath>
      <w:r>
        <w:t xml:space="preserve">) is not conjugate for the normal variance, but it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conjugate for the normal</w:t>
      </w:r>
      <w:r>
        <w:t xml:space="preserve"> </w:t>
      </w:r>
      <w:r>
        <w:rPr>
          <w:i/>
          <w:iCs/>
        </w:rPr>
        <w:t xml:space="preserve">precision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 It’s not mentioned how</w:t>
      </w:r>
      <w:r>
        <w:t xml:space="preserve"> </w:t>
      </w:r>
      <w:r>
        <w:t xml:space="preserve">this is determined, but it probably has something to do with the ease of</w:t>
      </w:r>
      <w:r>
        <w:t xml:space="preserve"> </w:t>
      </w:r>
      <w:r>
        <w:t xml:space="preserve">expressing posterior estimates in terms of precision in the previous section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known.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. Like we have done previously, we</w:t>
      </w:r>
      <w:r>
        <w:t xml:space="preserve"> </w:t>
      </w:r>
      <w:r>
        <w:t xml:space="preserve">would like to parameterize this distribution such that we can interpret choices</w:t>
      </w:r>
      <w:r>
        <w:t xml:space="preserve"> </w:t>
      </w:r>
      <w:r>
        <w:t xml:space="preserve">of the parameters of the prior as sensibly conveying some prior expectation</w:t>
      </w:r>
      <w:r>
        <w:t xml:space="preserve"> </w:t>
      </w:r>
      <w:r>
        <w:t xml:space="preserve">about the precision in this case. If we let</w:t>
      </w:r>
    </w:p>
    <w:p>
      <w:pPr>
        <w:pStyle w:val="Compact"/>
        <w:numPr>
          <w:ilvl w:val="0"/>
          <w:numId w:val="1004"/>
        </w:numPr>
      </w:pPr>
      <m:oMath>
        <m:r>
          <m:t>a</m:t>
        </m:r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/</m:t>
        </m:r>
        <m:r>
          <m:t>2</m:t>
        </m:r>
      </m:oMath>
    </w:p>
    <w:p>
      <w:pPr>
        <w:pStyle w:val="Compact"/>
        <w:numPr>
          <w:ilvl w:val="0"/>
          <w:numId w:val="1004"/>
        </w:numPr>
      </w:pPr>
      <m:oMath>
        <m:r>
          <m:t>b</m:t>
        </m:r>
        <m:r>
          <m:rPr>
            <m:sty m:val="p"/>
          </m:rPr>
          <m:t>=</m:t>
        </m:r>
        <m:r>
          <m:t>a</m:t>
        </m:r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</m:num>
          <m:den>
            <m:r>
              <m:t>2</m:t>
            </m:r>
          </m:den>
        </m:f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</w:p>
    <w:p>
      <w:pPr>
        <w:pStyle w:val="FirstParagraph"/>
      </w:pPr>
      <w:r>
        <w:t xml:space="preserve">We will show later that we can interpret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,</m:t>
            </m:r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as the sample</w:t>
      </w:r>
      <w:r>
        <w:t xml:space="preserve"> </w:t>
      </w:r>
      <w:r>
        <w:t xml:space="preserve">variance and sample size of a set of prior observations.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, then</w:t>
      </w:r>
      <w:r>
        <w:t xml:space="preserve"> </w:t>
      </w:r>
      <w:r>
        <w:t xml:space="preserve">notice that</w:t>
      </w:r>
      <w:r>
        <w:t xml:space="preserve"> </w:t>
      </w: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≠</m:t>
        </m:r>
        <m:r>
          <m:t>1</m:t>
        </m:r>
        <m:r>
          <m:rPr>
            <m:sty m:val="p"/>
          </m:rPr>
          <m:t>/</m:t>
        </m:r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since the</w:t>
      </w:r>
      <w:r>
        <w:t xml:space="preserve"> </w:t>
      </w:r>
      <w:r>
        <w:t xml:space="preserve">inverse is not a linear function. To calculate</w:t>
      </w:r>
      <w:r>
        <w:t xml:space="preserve"> </w:t>
      </w: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requires something more complicated (law of the unconscious statistician?), or we can use the fact that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nor/>
            <m:sty m:val="p"/>
          </m:rPr>
          <m:t>Inverse-Gamma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, for which</w:t>
      </w:r>
    </w:p>
    <w:p>
      <w:pPr>
        <w:pStyle w:val="Compact"/>
        <w:numPr>
          <w:ilvl w:val="0"/>
          <w:numId w:val="1005"/>
        </w:numPr>
      </w:pP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num>
          <m:den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ν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  <m:r>
              <m:rPr>
                <m:sty m:val="p"/>
              </m:rPr>
              <m:t>−</m:t>
            </m:r>
            <m:r>
              <m:t>1</m:t>
            </m:r>
          </m:den>
        </m:f>
      </m:oMath>
    </w:p>
    <w:p>
      <w:pPr>
        <w:pStyle w:val="Compact"/>
        <w:numPr>
          <w:ilvl w:val="0"/>
          <w:numId w:val="1005"/>
        </w:numPr>
      </w:pPr>
      <m:oMath>
        <m:r>
          <m:rPr>
            <m:nor/>
            <m:sty m:val="p"/>
          </m:rPr>
          <m:t>mode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num>
          <m:den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ν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Compact"/>
        <w:numPr>
          <w:ilvl w:val="0"/>
          <w:numId w:val="1005"/>
        </w:numPr>
      </w:pPr>
      <m:oMath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decreases as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increases.</w:t>
      </w:r>
    </w:p>
    <w:p>
      <w:pPr>
        <w:pStyle w:val="FirstParagraph"/>
      </w:pPr>
      <w:r>
        <w:t xml:space="preserve">From this you can already intuit how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 sample size, and</w:t>
      </w:r>
      <w:r>
        <w:t xml:space="preserve"> </w:t>
      </w:r>
      <m:oMath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is an initial guess of the sample variance where the expectation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more closely approaches</w:t>
      </w:r>
      <w:r>
        <w:t xml:space="preserve"> </w:t>
      </w:r>
      <m:oMath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as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increases.</w:t>
      </w:r>
    </w:p>
    <w:bookmarkStart w:id="25" w:name="posterior-inference"/>
    <w:p>
      <w:pPr>
        <w:pStyle w:val="Heading2"/>
      </w:pPr>
      <w:r>
        <w:t xml:space="preserve">3.1 Posterior inference</w:t>
      </w:r>
    </w:p>
    <w:p>
      <w:pPr>
        <w:pStyle w:val="FirstParagraph"/>
      </w:pPr>
      <w:r>
        <w:t xml:space="preserve">Now we have fully specified (1) our prior distributions:</w:t>
      </w:r>
    </w:p>
    <w:p>
      <w:pPr>
        <w:pStyle w:val="BodyText"/>
      </w:pPr>
    </w:p>
    <w:p>
      <w:pPr>
        <w:pStyle w:val="BodyText"/>
      </w:pPr>
      <w:r>
        <w:t xml:space="preserve">and (2) our sampling model: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∣</m:t>
          </m:r>
          <m:r>
            <m:t>θ</m:t>
          </m:r>
          <m:r>
            <m:rPr>
              <m:sty m:val="p"/>
            </m:rPr>
            <m:t>,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∼</m:t>
          </m:r>
          <m:r>
            <m:rPr>
              <m:nor/>
              <m:sty m:val="p"/>
            </m:rPr>
            <m:t> i.i.d. </m:t>
          </m:r>
          <m:r>
            <m:rPr>
              <m:sty m:val="p"/>
              <m:scr m:val="script"/>
            </m:rPr>
            <m:t>N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Now we wish to calculate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∣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which we can decompose to a product of marginal and conditional probabilities, just like the prior: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∣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∣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This is convenient because we already know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from the one-parameter case:</w:t>
      </w:r>
    </w:p>
    <w:p>
      <w:pPr>
        <w:pStyle w:val="BodyText"/>
      </w:pPr>
    </w:p>
    <w:p>
      <w:pPr>
        <w:pStyle w:val="BodyText"/>
      </w:pPr>
      <w:r>
        <w:t xml:space="preserve">where</w:t>
      </w:r>
    </w:p>
    <w:p>
      <w:pPr>
        <w:pStyle w:val="BodyText"/>
      </w:pPr>
    </w:p>
    <w:p>
      <w:pPr>
        <w:pStyle w:val="BodyText"/>
      </w:pPr>
      <w:r>
        <w:t xml:space="preserve">and</w:t>
      </w:r>
    </w:p>
    <w:p>
      <w:pPr>
        <w:pStyle w:val="BodyText"/>
      </w:pPr>
    </w:p>
    <w:p>
      <w:pPr>
        <w:pStyle w:val="BodyText"/>
      </w:pPr>
      <w:r>
        <w:t xml:space="preserve">If we let</w:t>
      </w:r>
      <w:r>
        <w:t xml:space="preserve"> </w:t>
      </w:r>
      <m:oMath>
        <m:sSub>
          <m:e>
            <m:r>
              <m:t>κ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κ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(remember we will interpret</w:t>
      </w:r>
      <w:r>
        <w:t xml:space="preserve"> </w:t>
      </w:r>
      <m:oMath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as a prior sample size,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as this sample size), then we have</w:t>
      </w:r>
    </w:p>
    <w:p>
      <w:pPr>
        <w:pStyle w:val="BodyText"/>
      </w:pPr>
    </w:p>
    <w:p>
      <w:pPr>
        <w:pStyle w:val="BodyText"/>
      </w:pPr>
      <w:r>
        <w:t xml:space="preserve">Where like before,</w:t>
      </w:r>
      <w:r>
        <w:t xml:space="preserve"> </w:t>
      </w:r>
      <m:oMath>
        <m:sSub>
          <m:e>
            <m:r>
              <m:t>μ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a weighted average of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dependent on the</w:t>
      </w:r>
      <w:r>
        <w:t xml:space="preserve"> </w:t>
      </w:r>
      <w:r>
        <w:t xml:space="preserve">“prior”</w:t>
      </w:r>
      <w:r>
        <w:t xml:space="preserve"> </w:t>
      </w:r>
      <w:r>
        <w:t xml:space="preserve">sample size</w:t>
      </w:r>
      <w:r>
        <w:t xml:space="preserve"> </w:t>
      </w:r>
      <m:oMath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the sample size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b>
          <m:e>
            <m:r>
              <m:t>κ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 sampling variance of the sample mean given known</w:t>
      </w:r>
      <w:r>
        <w:t xml:space="preserve"> </w:t>
      </w:r>
      <w:r>
        <w:t xml:space="preserve">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our</w:t>
      </w:r>
      <w:r>
        <w:t xml:space="preserve"> </w:t>
      </w:r>
      <w:r>
        <w:t xml:space="preserve">“sample size”</w:t>
      </w:r>
      <w:r>
        <w:t xml:space="preserve"> </w:t>
      </w:r>
      <m:oMath>
        <m:sSub>
          <m:e>
            <m:r>
              <m:t>κ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Recall our posterior distribution decomposition: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∣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∣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Once we calculate the second component, the posterior distribution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we will have</w:t>
      </w:r>
      <w:r>
        <w:t xml:space="preserve"> </w:t>
      </w:r>
      <w:r>
        <w:t xml:space="preserve">fully specified the joint posterior distribution.</w:t>
      </w:r>
    </w:p>
    <w:p>
      <w:pPr>
        <w:pStyle w:val="BodyText"/>
      </w:pPr>
    </w:p>
    <w:p>
      <w:pPr>
        <w:pStyle w:val="BodyText"/>
      </w:pPr>
      <w:r>
        <w:t xml:space="preserve">This integral is left as an exercise (Exercise 5.3). The result is that</w:t>
      </w:r>
    </w:p>
    <w:p>
      <w:pPr>
        <w:pStyle w:val="BodyText"/>
      </w:pPr>
    </w:p>
    <w:p>
      <w:pPr>
        <w:pStyle w:val="BodyText"/>
      </w:pPr>
      <w:r>
        <w:t xml:space="preserve">where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ν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</m:oMath>
      <w:r>
        <w:t xml:space="preserve">, like</w:t>
      </w:r>
      <w:r>
        <w:t xml:space="preserve"> </w:t>
      </w:r>
      <m:oMath>
        <m:sSub>
          <m:e>
            <m:r>
              <m:t>κ</m:t>
            </m:r>
          </m:e>
          <m:sub>
            <m:r>
              <m:t>n</m:t>
            </m:r>
          </m:sub>
        </m:sSub>
      </m:oMath>
    </w:p>
    <w:p>
      <w:pPr>
        <w:pStyle w:val="Compact"/>
        <w:numPr>
          <w:ilvl w:val="0"/>
          <w:numId w:val="1006"/>
        </w:numPr>
      </w:pPr>
      <m:oMath>
        <m:sSubSup>
          <m:e>
            <m:r>
              <m:t>σ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</m:den>
        </m:f>
        <m:d>
          <m:dPr>
            <m:begChr m:val="["/>
            <m:sepChr m:val=""/>
            <m:endChr m:val="]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sSup>
              <m:e>
                <m:r>
                  <m:t>s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sSub>
                  <m:e>
                    <m:r>
                      <m:t>κ</m:t>
                    </m:r>
                  </m:e>
                  <m:sub>
                    <m:r>
                      <m:t>0</m:t>
                    </m:r>
                  </m:sub>
                </m:sSub>
                <m:r>
                  <m:t>n</m:t>
                </m:r>
              </m:num>
              <m:den>
                <m:sSub>
                  <m:e>
                    <m:r>
                      <m:t>κ</m:t>
                    </m:r>
                  </m:e>
                  <m:sub>
                    <m:r>
                      <m:t>n</m:t>
                    </m:r>
                  </m:sub>
                </m:sSub>
              </m:den>
            </m:f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</m:e>
              <m:sup>
                <m:r>
                  <m:t>2</m:t>
                </m:r>
              </m:sup>
            </m:sSup>
          </m:e>
        </m:d>
      </m:oMath>
    </w:p>
    <w:p>
      <w:pPr>
        <w:pStyle w:val="FirstParagraph"/>
      </w:pPr>
      <m:oMath>
        <m:sSub>
          <m:e>
            <m:r>
              <m:t>ν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fairly intuitive, it acts as a sample size which is the</w:t>
      </w:r>
      <w:r>
        <w:t xml:space="preserve"> </w:t>
      </w:r>
      <w:r>
        <w:t xml:space="preserve">“prior sample</w:t>
      </w:r>
      <w:r>
        <w:t xml:space="preserve"> </w:t>
      </w:r>
      <w:r>
        <w:t xml:space="preserve">size”</w:t>
      </w:r>
      <w:r>
        <w:t xml:space="preserve"> </w:t>
      </w:r>
      <w:r>
        <w:t xml:space="preserve">of the variance plus the sample size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m:oMath>
        <m:sSubSup>
          <m:e>
            <m:r>
              <m:t>σ</m:t>
            </m:r>
          </m:e>
          <m:sub>
            <m:r>
              <m:t>n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is a bit harder to</w:t>
      </w:r>
      <w:r>
        <w:t xml:space="preserve"> </w:t>
      </w:r>
      <w:r>
        <w:t xml:space="preserve">understand. There are three terms here. The first,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, can be</w:t>
      </w:r>
      <w:r>
        <w:t xml:space="preserve"> </w:t>
      </w:r>
      <w:r>
        <w:t xml:space="preserve">thought of as a prior sum of squared observations from the sample mean (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prior samples with variance</w:t>
      </w:r>
      <w:r>
        <w:t xml:space="preserve"> </w:t>
      </w:r>
      <m:oMath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). Similarly,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s</m:t>
            </m:r>
          </m:e>
          <m:sup>
            <m:r>
              <m:t>2</m:t>
            </m:r>
          </m:sup>
        </m:sSup>
      </m:oMath>
      <w:r>
        <w:t xml:space="preserve">, where</w:t>
      </w:r>
      <w:r>
        <w:t xml:space="preserve"> </w:t>
      </w:r>
      <m:oMath>
        <m:sSup>
          <m:e>
            <m:r>
              <m:t>s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</m:e>
                </m:d>
              </m:e>
              <m:sup>
                <m:r>
                  <m:t>2</m:t>
                </m:r>
              </m:sup>
            </m:sSup>
          </m:e>
        </m:nary>
        <m:r>
          <m:rPr>
            <m:sty m:val="p"/>
          </m:rPr>
          <m:t>/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is literally the sum of squared</w:t>
      </w:r>
      <w:r>
        <w:t xml:space="preserve"> </w:t>
      </w:r>
      <w:r>
        <w:t xml:space="preserve">(actually observed) observations from the sample mean. Lastly, the third term</w:t>
      </w:r>
      <w:r>
        <w:t xml:space="preserve"> </w:t>
      </w:r>
      <w:r>
        <w:t xml:space="preserve">increases the posterior variance if the observed sample mean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</m:d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far</w:t>
      </w:r>
      <w:r>
        <w:t xml:space="preserve"> </w:t>
      </w:r>
      <w:r>
        <w:t xml:space="preserve">away from the expected prior mean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, since this would suggest higher</w:t>
      </w:r>
      <w:r>
        <w:t xml:space="preserve"> </w:t>
      </w:r>
      <w:r>
        <w:t xml:space="preserve">variance. All three</w:t>
      </w:r>
      <w:r>
        <w:t xml:space="preserve"> </w:t>
      </w:r>
      <w:r>
        <w:t xml:space="preserve">“sum of squares-ish”</w:t>
      </w:r>
      <w:r>
        <w:t xml:space="preserve"> </w:t>
      </w:r>
      <w:r>
        <w:t xml:space="preserve">terms are combined, then divided by the</w:t>
      </w:r>
      <w:r>
        <w:t xml:space="preserve"> </w:t>
      </w:r>
      <w:r>
        <w:t xml:space="preserve">total number of</w:t>
      </w:r>
      <w:r>
        <w:t xml:space="preserve"> </w:t>
      </w:r>
      <w:r>
        <w:t xml:space="preserve">“observations”</w:t>
      </w:r>
      <w:r>
        <w:t xml:space="preserve"> </w:t>
      </w:r>
      <m:oMath>
        <m:sSub>
          <m:e>
            <m:r>
              <m:t>ν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, as commonly done to estimate</w:t>
      </w:r>
      <w:r>
        <w:t xml:space="preserve"> </w:t>
      </w:r>
      <w:r>
        <w:t xml:space="preserve">variance from a sample.</w:t>
      </w:r>
    </w:p>
    <w:bookmarkEnd w:id="25"/>
    <w:bookmarkStart w:id="26" w:name="summary-of-posterior-inference"/>
    <w:p>
      <w:pPr>
        <w:pStyle w:val="Heading2"/>
      </w:pPr>
      <w:r>
        <w:t xml:space="preserve">3.2 Summary of posterior inference</w:t>
      </w:r>
    </w:p>
    <w:p>
      <w:pPr>
        <w:pStyle w:val="FirstParagraph"/>
      </w:pPr>
      <w:r>
        <w:t xml:space="preserve">This is a lot to handle, since there are a lot of moving parts. In sum, for</w:t>
      </w:r>
      <w:r>
        <w:t xml:space="preserve"> </w:t>
      </w:r>
      <w:r>
        <w:t xml:space="preserve">inference with the normal model, there are four prior parameters to specify:</w:t>
      </w:r>
    </w:p>
    <w:p>
      <w:pPr>
        <w:pStyle w:val="Compact"/>
        <w:numPr>
          <w:ilvl w:val="0"/>
          <w:numId w:val="1007"/>
        </w:numPr>
      </w:pPr>
      <m:oMath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, an initial estimate for the variance;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, a</w:t>
      </w:r>
      <w:r>
        <w:t xml:space="preserve"> </w:t>
      </w:r>
      <w:r>
        <w:t xml:space="preserve">“prior sample size”</w:t>
      </w:r>
      <w:r>
        <w:t xml:space="preserve"> </w:t>
      </w:r>
      <w:r>
        <w:t xml:space="preserve">from which the initial estimate of the</w:t>
      </w:r>
      <w:r>
        <w:t xml:space="preserve"> </w:t>
      </w:r>
      <w:r>
        <w:rPr>
          <w:i/>
          <w:iCs/>
        </w:rPr>
        <w:t xml:space="preserve">variance</w:t>
      </w:r>
      <w:r>
        <w:t xml:space="preserve"> </w:t>
      </w:r>
      <w:r>
        <w:t xml:space="preserve">is observed;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, an initial estimate for the population mean;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, a</w:t>
      </w:r>
      <w:r>
        <w:t xml:space="preserve"> </w:t>
      </w:r>
      <w:r>
        <w:t xml:space="preserve">“prior sample size”</w:t>
      </w:r>
      <w:r>
        <w:t xml:space="preserve"> </w:t>
      </w:r>
      <w:r>
        <w:t xml:space="preserve">from which the initial estimate of the</w:t>
      </w:r>
      <w:r>
        <w:t xml:space="preserve"> </w:t>
      </w:r>
      <w:r>
        <w:rPr>
          <w:i/>
          <w:iCs/>
        </w:rPr>
        <w:t xml:space="preserve">mean</w:t>
      </w:r>
      <w:r>
        <w:t xml:space="preserve"> </w:t>
      </w:r>
      <w:r>
        <w:t xml:space="preserve">is observed</w:t>
      </w:r>
    </w:p>
    <w:p>
      <w:pPr>
        <w:pStyle w:val="FirstParagraph"/>
      </w:pPr>
      <w:r>
        <w:t xml:space="preserve">Then we have</w:t>
      </w:r>
    </w:p>
    <w:p>
      <w:pPr>
        <w:pStyle w:val="Compact"/>
        <w:numPr>
          <w:ilvl w:val="0"/>
          <w:numId w:val="1008"/>
        </w:numPr>
      </w:pPr>
      <m:oMath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e>
        </m:d>
      </m:oMath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⟹</m:t>
        </m:r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  <m:f>
          <m:fPr>
            <m:type m:val="bar"/>
          </m:fPr>
          <m:num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num>
          <m:den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(use expectation of inverse gamma)</w:t>
      </w:r>
    </w:p>
    <w:p>
      <w:pPr>
        <w:pStyle w:val="Compact"/>
        <w:numPr>
          <w:ilvl w:val="0"/>
          <w:numId w:val="1008"/>
        </w:numPr>
      </w:pPr>
      <m:oMath>
        <m:r>
          <m:t>θ</m:t>
        </m:r>
        <m:r>
          <m:rPr>
            <m:sty m:val="p"/>
          </m:rPr>
          <m:t>∣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sSub>
              <m:e>
                <m:r>
                  <m:t>κ</m:t>
                </m:r>
              </m:e>
              <m:sub>
                <m:r>
                  <m:t>0</m:t>
                </m:r>
              </m:sub>
            </m:sSub>
          </m:e>
        </m:d>
      </m:oMath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⟹</m:t>
        </m:r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0</m:t>
            </m:r>
          </m:sub>
        </m:sSub>
      </m:oMath>
    </w:p>
    <w:p>
      <w:pPr>
        <w:pStyle w:val="FirstParagraph"/>
      </w:pPr>
      <w:r>
        <w:t xml:space="preserve">The updated parameters are</w:t>
      </w:r>
    </w:p>
    <w:p>
      <w:pPr>
        <w:pStyle w:val="Compact"/>
        <w:numPr>
          <w:ilvl w:val="0"/>
          <w:numId w:val="1009"/>
        </w:numPr>
      </w:pPr>
      <m:oMath>
        <m:sSub>
          <m:e>
            <m:r>
              <m:t>ν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</m:oMath>
    </w:p>
    <w:p>
      <w:pPr>
        <w:pStyle w:val="Compact"/>
        <w:numPr>
          <w:ilvl w:val="0"/>
          <w:numId w:val="1009"/>
        </w:numPr>
      </w:pPr>
      <m:oMath>
        <m:sSubSup>
          <m:e>
            <m:r>
              <m:t>σ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</m:den>
        </m:f>
        <m:d>
          <m:dPr>
            <m:begChr m:val="["/>
            <m:sepChr m:val=""/>
            <m:endChr m:val="]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sSup>
              <m:e>
                <m:r>
                  <m:t>s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sSub>
                  <m:e>
                    <m:r>
                      <m:t>κ</m:t>
                    </m:r>
                  </m:e>
                  <m:sub>
                    <m:r>
                      <m:t>0</m:t>
                    </m:r>
                  </m:sub>
                </m:sSub>
                <m:r>
                  <m:t>n</m:t>
                </m:r>
              </m:num>
              <m:den>
                <m:sSub>
                  <m:e>
                    <m:r>
                      <m:t>κ</m:t>
                    </m:r>
                  </m:e>
                  <m:sub>
                    <m:r>
                      <m:t>n</m:t>
                    </m:r>
                  </m:sub>
                </m:sSub>
              </m:den>
            </m:f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</m:e>
              <m:sup>
                <m:r>
                  <m:t>2</m:t>
                </m:r>
              </m:sup>
            </m:sSup>
          </m:e>
        </m:d>
      </m:oMath>
    </w:p>
    <w:p>
      <w:pPr>
        <w:pStyle w:val="Compact"/>
        <w:numPr>
          <w:ilvl w:val="0"/>
          <w:numId w:val="1009"/>
        </w:numPr>
      </w:pPr>
      <m:oMath>
        <m:sSub>
          <m:e>
            <m:r>
              <m:t>μ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κ</m:t>
                </m:r>
              </m:e>
              <m:sub>
                <m:r>
                  <m:t>0</m:t>
                </m:r>
              </m:sub>
            </m:sSub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  <m:acc>
              <m:accPr>
                <m:chr m:val="‾"/>
              </m:accPr>
              <m:e>
                <m:r>
                  <m:t>y</m:t>
                </m:r>
              </m:e>
            </m:acc>
          </m:num>
          <m:den>
            <m:sSub>
              <m:e>
                <m:r>
                  <m:t>κ</m:t>
                </m:r>
              </m:e>
              <m:sub>
                <m:r>
                  <m:t>n</m:t>
                </m:r>
              </m:sub>
            </m:sSub>
          </m:den>
        </m:f>
      </m:oMath>
    </w:p>
    <w:p>
      <w:pPr>
        <w:pStyle w:val="Compact"/>
        <w:numPr>
          <w:ilvl w:val="0"/>
          <w:numId w:val="1009"/>
        </w:numPr>
      </w:pPr>
      <m:oMath>
        <m:sSub>
          <m:e>
            <m:r>
              <m:t>κ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κ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</m:oMath>
    </w:p>
    <w:p>
      <w:pPr>
        <w:pStyle w:val="FirstParagraph"/>
      </w:pPr>
      <w:r>
        <w:t xml:space="preserve">So that the posterior is finally</w:t>
      </w:r>
    </w:p>
    <w:p>
      <w:pPr>
        <w:pStyle w:val="Compact"/>
        <w:numPr>
          <w:ilvl w:val="0"/>
          <w:numId w:val="1010"/>
        </w:numPr>
      </w:pPr>
      <m:oMath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∣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e>
        </m:d>
      </m:oMath>
    </w:p>
    <w:p>
      <w:pPr>
        <w:pStyle w:val="Compact"/>
        <w:numPr>
          <w:ilvl w:val="0"/>
          <w:numId w:val="1010"/>
        </w:numPr>
      </w:pPr>
      <w:r>
        <w:t xml:space="preserve">Where</w:t>
      </w:r>
      <w:r>
        <w:t xml:space="preserve"> </w:t>
      </w: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∣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σ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</m:num>
          <m:den>
            <m:r>
              <m:t>2</m:t>
            </m:r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ν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/</m:t>
                </m:r>
                <m:r>
                  <m:t>2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den>
        </m:f>
      </m:oMath>
      <w:r>
        <w:t xml:space="preserve"> </w:t>
      </w:r>
      <w:r>
        <w:t xml:space="preserve">(using the expectation of the inverse gamma)</w:t>
      </w:r>
    </w:p>
    <w:p>
      <w:pPr>
        <w:pStyle w:val="Compact"/>
        <w:numPr>
          <w:ilvl w:val="0"/>
          <w:numId w:val="1010"/>
        </w:numPr>
      </w:pPr>
      <m:oMath>
        <m:r>
          <m:t>θ</m:t>
        </m:r>
        <m:r>
          <m:rPr>
            <m:sty m:val="p"/>
          </m:rPr>
          <m:t>∣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sSub>
              <m:e>
                <m:r>
                  <m:t>κ</m:t>
                </m:r>
              </m:e>
              <m:sub>
                <m:r>
                  <m:t>n</m:t>
                </m:r>
              </m:sub>
            </m:sSub>
          </m:e>
        </m:d>
      </m:oMath>
    </w:p>
    <w:p>
      <w:pPr>
        <w:pStyle w:val="Compact"/>
        <w:numPr>
          <w:ilvl w:val="0"/>
          <w:numId w:val="1010"/>
        </w:numPr>
      </w:pPr>
      <w:r>
        <w:t xml:space="preserve">Where</w:t>
      </w:r>
      <w:r>
        <w:t xml:space="preserve"> </w:t>
      </w: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κ</m:t>
                </m:r>
              </m:e>
              <m:sub>
                <m:r>
                  <m:t>0</m:t>
                </m:r>
              </m:sub>
            </m:sSub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  <m:acc>
              <m:accPr>
                <m:chr m:val="‾"/>
              </m:accPr>
              <m:e>
                <m:r>
                  <m:t>y</m:t>
                </m:r>
              </m:e>
            </m:acc>
          </m:num>
          <m:den>
            <m:sSub>
              <m:e>
                <m:r>
                  <m:t>κ</m:t>
                </m:r>
              </m:e>
              <m:sub>
                <m:r>
                  <m:t>n</m:t>
                </m:r>
              </m:sub>
            </m:sSub>
          </m:den>
        </m:f>
      </m:oMath>
    </w:p>
    <w:p>
      <w:pPr>
        <w:pStyle w:val="FirstParagraph"/>
      </w:pPr>
      <w:r>
        <w:t xml:space="preserve">Note how the prior sample sizes for the variance and the mean are</w:t>
      </w:r>
      <w:r>
        <w:t xml:space="preserve"> </w:t>
      </w:r>
      <w:r>
        <w:t xml:space="preserve">decoupled because they update differently. However, it’s common to set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26"/>
    <w:bookmarkStart w:id="30" w:name="example"/>
    <w:p>
      <w:pPr>
        <w:pStyle w:val="Heading2"/>
      </w:pPr>
      <w:r>
        <w:t xml:space="preserve">3.3 Example</w:t>
      </w:r>
    </w:p>
    <w:p>
      <w:pPr>
        <w:pStyle w:val="FirstParagraph"/>
      </w:pPr>
      <w:r>
        <w:t xml:space="preserve">Back to midge wing length, although this time, we are leaving our estimate of</w:t>
      </w:r>
      <w:r>
        <w:t xml:space="preserve"> </w:t>
      </w:r>
      <w:r>
        <w:t xml:space="preserve">the variance of the population free as well.</w:t>
      </w:r>
    </w:p>
    <w:p>
      <w:pPr>
        <w:pStyle w:val="BodyText"/>
      </w:pPr>
      <w:r>
        <w:t xml:space="preserve">From other populations, say that we weakly believe that our prior estimates of</w:t>
      </w:r>
      <w:r>
        <w:t xml:space="preserve"> </w:t>
      </w:r>
      <w:r>
        <w:t xml:space="preserve">the population mean and variance are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1.9</m:t>
        </m:r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0.01</m:t>
        </m:r>
      </m:oMath>
      <w:r>
        <w:t xml:space="preserve">,</w:t>
      </w:r>
      <w:r>
        <w:t xml:space="preserve"> </w:t>
      </w:r>
      <w:r>
        <w:t xml:space="preserve">respectively. Since this is a weak belief we will pick</w:t>
      </w:r>
      <w:r>
        <w:t xml:space="preserve"> </w:t>
      </w:r>
      <m:oMath>
        <m:sSub>
          <m:e>
            <m:r>
              <m:t>κ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 Now our prior distributions are</w:t>
      </w:r>
    </w:p>
    <w:p>
      <w:pPr>
        <w:pStyle w:val="Compact"/>
        <w:numPr>
          <w:ilvl w:val="0"/>
          <w:numId w:val="1011"/>
        </w:numPr>
      </w:pPr>
      <m:oMath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r>
              <m:t>0.5</m:t>
            </m:r>
            <m:r>
              <m:rPr>
                <m:sty m:val="p"/>
              </m:rPr>
              <m:t>,</m:t>
            </m:r>
            <m:r>
              <m:t>0.005</m:t>
            </m:r>
          </m:e>
        </m:d>
      </m:oMath>
    </w:p>
    <w:p>
      <w:pPr>
        <w:pStyle w:val="Compact"/>
        <w:numPr>
          <w:ilvl w:val="0"/>
          <w:numId w:val="1011"/>
        </w:numPr>
      </w:pPr>
      <m:oMath>
        <m:r>
          <m:t>θ</m:t>
        </m:r>
        <m:r>
          <m:rPr>
            <m:sty m:val="p"/>
          </m:rPr>
          <m:t>∣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r>
              <m:t>1.9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sSub>
              <m:e>
                <m:r>
                  <m:t>κ</m:t>
                </m:r>
              </m:e>
              <m:sub>
                <m:r>
                  <m:t>0</m:t>
                </m:r>
              </m:sub>
            </m:sSub>
          </m:e>
        </m:d>
      </m:oMath>
    </w:p>
    <w:p>
      <w:pPr>
        <w:pStyle w:val="FirstParagraph"/>
      </w:pPr>
      <w:r>
        <w:t xml:space="preserve">Recall that our data are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1.64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1.70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1.72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1.74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1.90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2.08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(y)</w:t>
      </w:r>
    </w:p>
    <w:p>
      <w:pPr>
        <w:pStyle w:val="FirstParagraph"/>
      </w:pPr>
      <w:r>
        <w:t xml:space="preserve">Now we calculate the parameters of the posterior distributions</w:t>
      </w:r>
    </w:p>
    <w:p>
      <w:pPr>
        <w:pStyle w:val="Compact"/>
        <w:numPr>
          <w:ilvl w:val="0"/>
          <w:numId w:val="1012"/>
        </w:numPr>
      </w:pPr>
      <m:oMath>
        <m:sSub>
          <m:e>
            <m:r>
              <m:t>κ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κ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10</m:t>
        </m:r>
      </m:oMath>
    </w:p>
    <w:p>
      <w:pPr>
        <w:pStyle w:val="Compact"/>
        <w:numPr>
          <w:ilvl w:val="0"/>
          <w:numId w:val="1012"/>
        </w:numPr>
      </w:pPr>
      <m:oMath>
        <m:sSub>
          <m:e>
            <m:r>
              <m:t>ν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10</m:t>
        </m:r>
      </m:oMath>
    </w:p>
    <w:p>
      <w:pPr>
        <w:pStyle w:val="Compact"/>
        <w:numPr>
          <w:ilvl w:val="0"/>
          <w:numId w:val="1012"/>
        </w:numPr>
      </w:pPr>
      <m:oMath>
        <m:sSub>
          <m:e>
            <m:r>
              <m:t>μ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κ</m:t>
                </m:r>
              </m:e>
              <m:sub>
                <m:r>
                  <m:t>0</m:t>
                </m:r>
              </m:sub>
            </m:sSub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  <m:acc>
              <m:accPr>
                <m:chr m:val="‾"/>
              </m:accPr>
              <m:e>
                <m:r>
                  <m:t>y</m:t>
                </m:r>
              </m:e>
            </m:acc>
          </m:num>
          <m:den>
            <m:sSub>
              <m:e>
                <m:r>
                  <m:t>κ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1.9</m:t>
            </m:r>
            <m:r>
              <m:rPr>
                <m:sty m:val="p"/>
              </m:rPr>
              <m:t>+</m:t>
            </m:r>
            <m:r>
              <m:t>9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1.804</m:t>
                </m:r>
              </m:e>
            </m:d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1.814</m:t>
        </m:r>
      </m:oMath>
    </w:p>
    <w:p>
      <w:pPr>
        <w:pStyle w:val="Compact"/>
        <w:numPr>
          <w:ilvl w:val="0"/>
          <w:numId w:val="1012"/>
        </w:numPr>
      </w:pPr>
    </w:p>
    <w:p>
      <w:pPr>
        <w:pStyle w:val="FirstParagraph"/>
      </w:pPr>
      <w:r>
        <w:t xml:space="preserve">So our joint posterior distribution is</w:t>
      </w:r>
    </w:p>
    <w:p>
      <w:pPr>
        <w:pStyle w:val="BodyText"/>
      </w:pPr>
    </w:p>
    <w:p>
      <w:pPr>
        <w:pStyle w:val="BodyText"/>
      </w:pPr>
      <w:r>
        <w:t xml:space="preserve">Now we can plot the posterior distribution for various values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SourceCode"/>
      </w:pPr>
      <w:r>
        <w:rPr>
          <w:rStyle w:val="CommentTok"/>
        </w:rPr>
        <w:t xml:space="preserve"># Prior</w:t>
      </w:r>
      <w:r>
        <w:br/>
      </w: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1.9</w:t>
      </w:r>
      <w:r>
        <w:br/>
      </w:r>
      <w:r>
        <w:rPr>
          <w:rStyle w:val="NormalTok"/>
        </w:rPr>
        <w:t xml:space="preserve">kappa0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NormalTok"/>
        </w:rPr>
        <w:t xml:space="preserve">kappan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kappa0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nun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mun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(kappa0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kappan</w:t>
      </w:r>
      <w:r>
        <w:br/>
      </w:r>
      <w:r>
        <w:rPr>
          <w:rStyle w:val="NormalTok"/>
        </w:rPr>
        <w:t xml:space="preserve">s2n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nun)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(kappa0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kappan)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(ybar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mu0)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loatTok"/>
        </w:rPr>
        <w:t xml:space="preserve">1.6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Sigma2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0.04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0.0001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(invgamma)</w:t>
      </w:r>
      <w:r>
        <w:br/>
      </w:r>
      <w:r>
        <w:rPr>
          <w:rStyle w:val="NormalTok"/>
        </w:rPr>
        <w:t xml:space="preserve">post.func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(theta, sigma2)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(theta, mun,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kappan))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dinvgamma</w:t>
      </w:r>
      <w:r>
        <w:rPr>
          <w:rStyle w:val="NormalTok"/>
        </w:rPr>
        <w:t xml:space="preserve">(sigma2, 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s2n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(Theta, Sigma2, post.func)</w:t>
      </w:r>
      <w:r>
        <w:br/>
      </w:r>
      <w:r>
        <w:rPr>
          <w:rStyle w:val="FunctionTok"/>
        </w:rPr>
        <w:t xml:space="preserve">rownames</w:t>
      </w:r>
      <w:r>
        <w:rPr>
          <w:rStyle w:val="NormalTok"/>
        </w:rPr>
        <w:t xml:space="preserve">(d)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(d)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Sigma2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rownames_to_column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'theta'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pivot_longer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cols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theta, </w:t>
      </w:r>
      <w:r>
        <w:rPr>
          <w:rStyle w:val="AttributeTok"/>
        </w:rPr>
        <w:t xml:space="preserve">names_to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'sigma2'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values_to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'density'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(theta), 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(sigma2))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sigma2,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density))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geom_contour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..level..))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5_files/figure-docx/unnamed-chunk-5-1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4" w:name="monte-carlo-sampling"/>
    <w:p>
      <w:pPr>
        <w:pStyle w:val="Heading2"/>
      </w:pPr>
      <w:r>
        <w:t xml:space="preserve">3.4 Monte carlo sampling</w:t>
      </w:r>
    </w:p>
    <w:p>
      <w:pPr>
        <w:pStyle w:val="FirstParagraph"/>
      </w:pPr>
      <w:r>
        <w:t xml:space="preserve">We can simulate values from the posterior by first sampling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 </w:t>
      </w:r>
      <w:r>
        <w:t xml:space="preserve">from</w:t>
      </w:r>
      <w:r>
        <w:t xml:space="preserve"> </w:t>
      </w:r>
      <w:r>
        <w:t xml:space="preserve">its inverse gamma distribution, and</w:t>
      </w:r>
      <w:r>
        <w:t xml:space="preserve"> </w:t>
      </w:r>
      <m:oMath>
        <m:sSup>
          <m:e>
            <m: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 </w:t>
      </w:r>
      <w:r>
        <w:t xml:space="preserve">from its normal distribution</w:t>
      </w:r>
      <w:r>
        <w:t xml:space="preserve"> </w:t>
      </w:r>
      <w:r>
        <w:t xml:space="preserve">conditioned on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. Then</w:t>
      </w:r>
      <w:r>
        <w:t xml:space="preserve"> </w:t>
      </w:r>
      <m:oMath>
        <m:r>
          <m:rPr>
            <m:sty m:val="p"/>
          </m:rPr>
          <m:t>{</m:t>
        </m:r>
        <m:sSup>
          <m:e>
            <m: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  <m:r>
          <m:rPr>
            <m:sty m:val="p"/>
          </m:rPr>
          <m:t>}</m:t>
        </m:r>
      </m:oMath>
      <w:r>
        <w:t xml:space="preserve"> </w:t>
      </w:r>
      <w:r>
        <w:t xml:space="preserve">represent</w:t>
      </w:r>
      <w:r>
        <w:t xml:space="preserve"> </w:t>
      </w:r>
      <w:r>
        <w:t xml:space="preserve">samples from the joint distribution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∣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</w:t>
      </w:r>
      <w:r>
        <w:t xml:space="preserve"> </w:t>
      </w:r>
      <w:r>
        <w:t xml:space="preserve">and either set of values by themselves represents samples from the full marginal</w:t>
      </w:r>
      <w:r>
        <w:t xml:space="preserve"> </w:t>
      </w:r>
      <w:r>
        <w:t xml:space="preserve">distribution. This is intuitive 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 </w:t>
      </w:r>
      <w:r>
        <w:t xml:space="preserve">but less so for</w:t>
      </w:r>
      <w:r>
        <w:t xml:space="preserve"> </w:t>
      </w:r>
      <m:oMath>
        <m:sSup>
          <m:e>
            <m: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. The key is to notice that, although</w:t>
      </w:r>
      <w:r>
        <w:t xml:space="preserve"> </w:t>
      </w:r>
      <m:oMath>
        <m:sSup>
          <m:e>
            <m: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 </w:t>
      </w:r>
      <w:r>
        <w:t xml:space="preserve">is sampled</w:t>
      </w:r>
      <w:r>
        <w:t xml:space="preserve"> </w:t>
      </w:r>
      <w:r>
        <w:t xml:space="preserve">conditioned on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, multiple</w:t>
      </w:r>
      <w:r>
        <w:t xml:space="preserve"> </w:t>
      </w:r>
      <m:oMath>
        <m:sSup>
          <m:e>
            <m: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 </w:t>
      </w:r>
      <w:r>
        <w:t xml:space="preserve">samples are conditioned</w:t>
      </w:r>
      <w:r>
        <w:t xml:space="preserve"> </w:t>
      </w:r>
      <w:r>
        <w:t xml:space="preserve">on multiple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s, so the</w:t>
      </w:r>
      <w:r>
        <w:t xml:space="preserve"> </w:t>
      </w:r>
      <m:oMath>
        <m:sSup>
          <m:e>
            <m: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n</m:t>
                </m:r>
              </m:e>
            </m:d>
          </m:sup>
        </m:sSup>
      </m:oMath>
      <w:r>
        <w:t xml:space="preserve"> </w:t>
      </w:r>
      <w:r>
        <w:t xml:space="preserve">do indeed</w:t>
      </w:r>
      <w:r>
        <w:t xml:space="preserve"> </w:t>
      </w:r>
      <w:r>
        <w:t xml:space="preserve">represent samples from the marginal distribution.</w:t>
      </w:r>
    </w:p>
    <w:p>
      <w:pPr>
        <w:pStyle w:val="SourceCode"/>
      </w:pPr>
      <w:r>
        <w:rPr>
          <w:rStyle w:val="NormalTok"/>
        </w:rPr>
        <w:t xml:space="preserve">s2.mc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rinvgamma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s2n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theta.mc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mun,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(s2.mc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kappan)) </w:t>
      </w:r>
      <w:r>
        <w:rPr>
          <w:rStyle w:val="CommentTok"/>
        </w:rPr>
        <w:t xml:space="preserve"># Accepts a vector of parameters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(theta.mc)</w:t>
      </w:r>
      <w:r>
        <w:br/>
      </w:r>
      <w:r>
        <w:rPr>
          <w:rStyle w:val="CommentTok"/>
        </w:rPr>
        <w:t xml:space="preserve">#&gt; [1] 1.814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(theta.mc,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2.5%    97.5% </w:t>
      </w:r>
      <w:r>
        <w:br/>
      </w:r>
      <w:r>
        <w:rPr>
          <w:rStyle w:val="CommentTok"/>
        </w:rPr>
        <w:t xml:space="preserve">#&gt; 1.727240 1.899116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s2.mc, 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theta.mc))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sigma2),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5_files/figure-docx/unnamed-chunk-7-1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35" w:name="improper-priors"/>
    <w:p>
      <w:pPr>
        <w:pStyle w:val="Heading2"/>
      </w:pPr>
      <w:r>
        <w:t xml:space="preserve">3.5 Improper priors</w:t>
      </w:r>
    </w:p>
    <w:p>
      <w:pPr>
        <w:pStyle w:val="FirstParagraph"/>
      </w:pPr>
      <w:r>
        <w:t xml:space="preserve">What if we want to use</w:t>
      </w:r>
      <w:r>
        <w:t xml:space="preserve"> </w:t>
      </w:r>
      <w:r>
        <w:rPr>
          <w:i/>
          <w:iCs/>
        </w:rPr>
        <w:t xml:space="preserve">no</w:t>
      </w:r>
      <w:r>
        <w:t xml:space="preserve"> </w:t>
      </w:r>
      <w:r>
        <w:t xml:space="preserve">prior information? See what happens to our</w:t>
      </w:r>
      <w:r>
        <w:t xml:space="preserve"> </w:t>
      </w:r>
      <w:r>
        <w:t xml:space="preserve">posterior distribution</w:t>
      </w:r>
      <w:r>
        <w:t xml:space="preserve"> </w:t>
      </w:r>
      <m:oMath>
        <m:sSub>
          <m:e>
            <m:r>
              <m:t>κ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. Using the formula above,</w:t>
      </w:r>
    </w:p>
    <w:p>
      <w:pPr>
        <w:pStyle w:val="Compact"/>
        <w:numPr>
          <w:ilvl w:val="0"/>
          <w:numId w:val="1013"/>
        </w:numPr>
      </w:pPr>
      <m:oMath>
        <m:sSubSup>
          <m:e>
            <m:r>
              <m:t>σ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→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n</m:t>
            </m:r>
          </m:den>
        </m:f>
        <m:sSup>
          <m:e>
            <m:r>
              <m:t>s</m:t>
            </m:r>
          </m:e>
          <m:sup>
            <m:r>
              <m:t>2</m:t>
            </m:r>
          </m:sup>
        </m:sSup>
      </m:oMath>
    </w:p>
    <w:p>
      <w:pPr>
        <w:pStyle w:val="Compact"/>
        <w:numPr>
          <w:ilvl w:val="0"/>
          <w:numId w:val="1013"/>
        </w:numPr>
      </w:pPr>
      <m:oMath>
        <m:sSub>
          <m:e>
            <m:r>
              <m:t>μ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acc>
          <m:accPr>
            <m:chr m:val="‾"/>
          </m:accPr>
          <m:e>
            <m:r>
              <m:t>y</m:t>
            </m:r>
          </m:e>
        </m:acc>
      </m:oMath>
      <w:r>
        <w:t xml:space="preserve">.</w:t>
      </w:r>
    </w:p>
    <w:p>
      <w:pPr>
        <w:pStyle w:val="FirstParagraph"/>
      </w:pPr>
      <w:r>
        <w:t xml:space="preserve">Then, the</w:t>
      </w:r>
      <w:r>
        <w:t xml:space="preserve"> </w:t>
      </w:r>
      <w:r>
        <w:t xml:space="preserve">“posterior”</w:t>
      </w:r>
      <w:r>
        <w:t xml:space="preserve"> </w:t>
      </w:r>
      <w:r>
        <w:t xml:space="preserve">(plugging in</w:t>
      </w:r>
      <w:r>
        <w:t xml:space="preserve"> </w:t>
      </w:r>
      <m:oMath>
        <m:sSub>
          <m:e>
            <m:r>
              <m:t>κ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 posterior</w:t>
      </w:r>
      <w:r>
        <w:t xml:space="preserve"> </w:t>
      </w:r>
      <w:r>
        <w:t xml:space="preserve">parameters</w:t>
      </w:r>
      <w:r>
        <w:t xml:space="preserve"> </w:t>
      </w:r>
      <m:oMath>
        <m:sSubSup>
          <m:e>
            <m:r>
              <m:t>σ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sSub>
          <m:e>
            <m:r>
              <m:t>μ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 simplifying) would be</w:t>
      </w:r>
    </w:p>
    <w:p>
      <w:pPr>
        <w:pStyle w:val="BodyText"/>
      </w:pPr>
    </w:p>
    <w:p>
      <w:pPr>
        <w:pStyle w:val="BodyText"/>
      </w:pPr>
      <w:r>
        <w:t xml:space="preserve">With</w:t>
      </w:r>
      <w:r>
        <w:t xml:space="preserve"> </w:t>
      </w:r>
      <w:r>
        <w:t xml:space="preserve">“significant algebra”</w:t>
      </w:r>
      <w:r>
        <w:t xml:space="preserve"> </w:t>
      </w:r>
      <w:r>
        <w:t xml:space="preserve">(Wood 2009)</w:t>
      </w:r>
      <w:r>
        <w:t xml:space="preserve">, you can show that inference this way results in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θ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num>
            <m:den>
              <m:r>
                <m:t>s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  <m:r>
            <m:rPr>
              <m:sty m:val="p"/>
            </m:rPr>
            <m:t>∣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∼</m:t>
          </m:r>
          <m:sSub>
            <m:e>
              <m:r>
                <m:t>t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</m:oMath>
      </m:oMathPara>
    </w:p>
    <w:p>
      <w:pPr>
        <w:pStyle w:val="FirstParagraph"/>
      </w:pPr>
      <w:r>
        <w:t xml:space="preserve">i.e. a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distribution with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degrees of freedom. This is similar to the</w:t>
      </w:r>
      <w:r>
        <w:t xml:space="preserve"> </w:t>
      </w:r>
      <w:r>
        <w:t xml:space="preserve">sampling distribution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statistic: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t>θ</m:t>
              </m:r>
            </m:num>
            <m:den>
              <m:r>
                <m:t>s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  <m:r>
            <m:rPr>
              <m:sty m:val="p"/>
            </m:rPr>
            <m:t>∣</m:t>
          </m:r>
          <m:r>
            <m:t>θ</m:t>
          </m:r>
          <m:r>
            <m:rPr>
              <m:sty m:val="p"/>
            </m:rPr>
            <m:t>∼</m:t>
          </m:r>
          <m:sSub>
            <m:e>
              <m:r>
                <m:t>t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</m:oMath>
      </m:oMathPara>
    </w:p>
    <w:p>
      <w:pPr>
        <w:pStyle w:val="FirstParagraph"/>
      </w:pPr>
      <w:r>
        <w:t xml:space="preserve">but like the Bayesian vs Frequentist</w:t>
      </w:r>
      <w:r>
        <w:t xml:space="preserve"> </w:t>
      </w:r>
      <w:r>
        <w:t xml:space="preserve">confidence intervals discussion in Chapter 3, they are philosophically</w:t>
      </w:r>
      <w:r>
        <w:t xml:space="preserve"> </w:t>
      </w:r>
      <w:r>
        <w:t xml:space="preserve">different. The first describes uncertainty about the true mean conditional on</w:t>
      </w:r>
      <w:r>
        <w:t xml:space="preserve"> </w:t>
      </w:r>
      <w:r>
        <w:t xml:space="preserve">the data, while the second describes uncertainty about the observed sample mean</w:t>
      </w:r>
      <w:r>
        <w:t xml:space="preserve"> </w:t>
      </w:r>
      <w:r>
        <w:t xml:space="preserve">given the true population mean.</w:t>
      </w:r>
    </w:p>
    <w:bookmarkEnd w:id="35"/>
    <w:bookmarkEnd w:id="36"/>
    <w:bookmarkStart w:id="37" w:name="bias-variance-and-mean-squared-error"/>
    <w:p>
      <w:pPr>
        <w:pStyle w:val="Heading1"/>
      </w:pPr>
      <w:r>
        <w:t xml:space="preserve">4. Bias, variance, and mean squared error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we are diving into the properties of estimators for posterior parameters.</w:t>
      </w:r>
    </w:p>
    <w:p>
      <w:pPr>
        <w:pStyle w:val="BlockText"/>
      </w:pPr>
      <w:r>
        <w:t xml:space="preserve">A</w:t>
      </w:r>
      <w:r>
        <w:t xml:space="preserve"> </w:t>
      </w:r>
      <w:r>
        <w:rPr>
          <w:i/>
          <w:iCs/>
        </w:rPr>
        <w:t xml:space="preserve">point estimator</w:t>
      </w:r>
      <w:r>
        <w:t xml:space="preserve"> </w:t>
      </w:r>
      <w:r>
        <w:t xml:space="preserve">of an unknown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a function that converts your data into a single element of the parameter space</w:t>
      </w:r>
      <w:r>
        <w:t xml:space="preserve"> </w:t>
      </w:r>
      <m:oMath>
        <m:r>
          <m:t>Θ</m:t>
        </m:r>
      </m:oMath>
      <w:r>
        <w:t xml:space="preserve">. Good point estimators should hopefully approximate (and</w:t>
      </w:r>
      <w:r>
        <w:t xml:space="preserve"> </w:t>
      </w:r>
      <w:r>
        <w:rPr>
          <w:i/>
          <w:iCs/>
        </w:rPr>
        <w:t xml:space="preserve">reliably</w:t>
      </w:r>
      <w:r>
        <w:t xml:space="preserve"> </w:t>
      </w:r>
      <w:r>
        <w:t xml:space="preserve">approximate) the true value of</w:t>
      </w:r>
      <w:r>
        <w:t xml:space="preserve"> </w:t>
      </w:r>
      <m:oMath>
        <m:r>
          <m:t>θ</m:t>
        </m:r>
      </m:oMath>
      <w:r>
        <w:t xml:space="preserve">; we can formalize these properties as the bias and mean squared error of estimators.</w:t>
      </w:r>
    </w:p>
    <w:p>
      <w:pPr>
        <w:pStyle w:val="FirstParagraph"/>
      </w:pPr>
      <w:r>
        <w:t xml:space="preserve">In Bayesian analysis, point estimators are usually functions of the posterior</w:t>
      </w:r>
      <w:r>
        <w:t xml:space="preserve"> </w:t>
      </w:r>
      <w:r>
        <w:t xml:space="preserve">distribution of the parameter, such as the expectation.</w:t>
      </w:r>
    </w:p>
    <w:p>
      <w:pPr>
        <w:pStyle w:val="BodyText"/>
      </w:pPr>
      <w:r>
        <w:t xml:space="preserve">The point estimator for the posterior of our normal sampling model and a normal</w:t>
      </w:r>
      <w:r>
        <w:t xml:space="preserve"> </w:t>
      </w:r>
      <w:r>
        <w:t xml:space="preserve">prior is (call it</w:t>
      </w:r>
      <w:r>
        <w:t xml:space="preserve"> </w:t>
      </w:r>
      <m:oMath>
        <m:acc>
          <m:accPr>
            <m:chr m:val="̂"/>
          </m:accPr>
          <m:e>
            <m:sSub>
              <m:e>
                <m:r>
                  <m:t>θ</m:t>
                </m:r>
              </m:e>
              <m:sub>
                <m:r>
                  <m:t>b</m:t>
                </m:r>
              </m:sub>
            </m:sSub>
          </m:e>
        </m:acc>
      </m:oMath>
      <w:r>
        <w:t xml:space="preserve">)</w:t>
      </w:r>
    </w:p>
    <w:p>
      <w:pPr>
        <w:pStyle w:val="BodyText"/>
      </w:pPr>
    </w:p>
    <w:p>
      <w:pPr>
        <w:pStyle w:val="BodyText"/>
      </w:pPr>
      <w:r>
        <w:t xml:space="preserve">where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</m:num>
          <m:den>
            <m:sSub>
              <m:e>
                <m:r>
                  <m:t>κ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</m:den>
        </m:f>
      </m:oMath>
      <w:r>
        <w:t xml:space="preserve">.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b/>
          <w:bCs/>
        </w:rPr>
        <w:t xml:space="preserve">Bias</w:t>
      </w:r>
      <w:r>
        <w:t xml:space="preserve"> </w:t>
      </w:r>
      <w:r>
        <w:t xml:space="preserve">of 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nor/>
              <m:sty m:val="p"/>
            </m:rPr>
            <m:t>Bias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rPr>
              <m:sty m:val="p"/>
            </m:rPr>
            <m:t>=</m:t>
          </m:r>
          <m:r>
            <m:rPr>
              <m:sty m:val="p"/>
              <m:scr m:val="double-struck"/>
            </m:rPr>
            <m:t>E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rPr>
              <m:sty m:val="p"/>
            </m:rPr>
            <m:t>−</m:t>
          </m:r>
          <m:r>
            <m:t>θ</m:t>
          </m:r>
        </m:oMath>
      </m:oMathPara>
    </w:p>
    <w:p>
      <w:pPr>
        <w:pStyle w:val="BlockText"/>
      </w:pPr>
      <w:r>
        <w:t xml:space="preserve">. If</w:t>
      </w:r>
      <w:r>
        <w:t xml:space="preserve"> </w:t>
      </w:r>
      <m:oMath>
        <m:r>
          <m:rPr>
            <m:nor/>
            <m:sty m:val="p"/>
          </m:rPr>
          <m:t>Bias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we say that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 an</w:t>
      </w:r>
      <w:r>
        <w:t xml:space="preserve"> </w:t>
      </w:r>
      <w:r>
        <w:rPr>
          <w:i/>
          <w:iCs/>
        </w:rPr>
        <w:t xml:space="preserve">unbiased</w:t>
      </w:r>
      <w:r>
        <w:t xml:space="preserve"> </w:t>
      </w:r>
      <w:r>
        <w:t xml:space="preserve">estimator; otherwise we say it is biased.</w:t>
      </w:r>
    </w:p>
    <w:p>
      <w:pPr>
        <w:pStyle w:val="FirstParagraph"/>
      </w:pPr>
      <w:r>
        <w:t xml:space="preserve">Consider the Bayesian</w:t>
      </w:r>
      <w:r>
        <w:t xml:space="preserve"> </w:t>
      </w:r>
      <m:oMath>
        <m:acc>
          <m:accPr>
            <m:chr m:val="̂"/>
          </m:accPr>
          <m:e>
            <m:sSub>
              <m:e>
                <m:r>
                  <m:t>θ</m:t>
                </m:r>
              </m:e>
              <m:sub>
                <m:r>
                  <m:t>b</m:t>
                </m:r>
              </m:sub>
            </m:sSub>
          </m:e>
        </m:acc>
      </m:oMath>
      <w:r>
        <w:t xml:space="preserve"> </w:t>
      </w:r>
      <w:r>
        <w:t xml:space="preserve">above versus the standard maximum</w:t>
      </w:r>
      <w:r>
        <w:t xml:space="preserve"> </w:t>
      </w:r>
      <w:r>
        <w:t xml:space="preserve">likelihood estimator,</w:t>
      </w:r>
      <w:r>
        <w:t xml:space="preserve"> </w:t>
      </w:r>
      <m:oMath>
        <m:acc>
          <m:accPr>
            <m:chr m:val="̂"/>
          </m:accPr>
          <m:e>
            <m:sSub>
              <m:e>
                <m:r>
                  <m:t>θ</m:t>
                </m:r>
              </m:e>
              <m:sub>
                <m:r>
                  <m:t>e</m:t>
                </m:r>
              </m:sub>
            </m:sSub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y</m:t>
            </m:r>
          </m:e>
        </m:acc>
      </m:oMath>
      <w:r>
        <w:t xml:space="preserve">.</w:t>
      </w:r>
    </w:p>
    <w:p>
      <w:pPr>
        <w:pStyle w:val="BodyText"/>
      </w:pPr>
      <w:r>
        <w:t xml:space="preserve">Notice that</w:t>
      </w:r>
    </w:p>
    <w:p>
      <w:pPr>
        <w:pStyle w:val="Compact"/>
        <w:numPr>
          <w:ilvl w:val="0"/>
          <w:numId w:val="1014"/>
        </w:numPr>
      </w:pPr>
      <m:oMath>
        <m:r>
          <m:rPr>
            <m:nor/>
            <m:sty m:val="p"/>
          </m:rPr>
          <m:t>Bias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sSub>
                  <m:e>
                    <m:r>
                      <m:t>θ</m:t>
                    </m:r>
                  </m:e>
                  <m:sub>
                    <m:r>
                      <m:t>e</m:t>
                    </m:r>
                  </m:sub>
                </m:sSub>
              </m:e>
            </m:acc>
          </m:e>
        </m:d>
        <m:r>
          <m:rPr>
            <m:sty m:val="p"/>
          </m:rPr>
          <m:t>=</m:t>
        </m:r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sSub>
                  <m:e>
                    <m:r>
                      <m:t>θ</m:t>
                    </m:r>
                  </m:e>
                  <m:sub>
                    <m:r>
                      <m:t>e</m:t>
                    </m:r>
                  </m:sub>
                </m:sSub>
              </m:e>
            </m:acc>
          </m:e>
        </m:d>
        <m:r>
          <m:rPr>
            <m:sty m:val="p"/>
          </m:rPr>
          <m:t>−</m:t>
        </m:r>
        <m:r>
          <m:t>θ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acc>
          <m:accPr>
            <m:chr m:val="̂"/>
          </m:accPr>
          <m:e>
            <m:sSub>
              <m:e>
                <m:r>
                  <m:t>θ</m:t>
                </m:r>
              </m:e>
              <m:sub>
                <m:r>
                  <m:t>b</m:t>
                </m:r>
              </m:sub>
            </m:sSub>
          </m:e>
        </m:acc>
      </m:oMath>
      <w:r>
        <w:t xml:space="preserve"> </w:t>
      </w:r>
      <w:r>
        <w:t xml:space="preserve">is unbiased;</w:t>
      </w:r>
    </w:p>
    <w:p>
      <w:pPr>
        <w:pStyle w:val="Compact"/>
        <w:numPr>
          <w:ilvl w:val="0"/>
          <w:numId w:val="1014"/>
        </w:numPr>
      </w:pPr>
      <m:oMath>
        <m:r>
          <m:rPr>
            <m:nor/>
            <m:sty m:val="p"/>
          </m:rPr>
          <m:t>Bias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sSub>
                  <m:e>
                    <m:r>
                      <m:t>θ</m:t>
                    </m:r>
                  </m:e>
                  <m:sub>
                    <m:r>
                      <m:t>b</m:t>
                    </m:r>
                  </m:sub>
                </m:sSub>
              </m:e>
            </m:acc>
          </m:e>
        </m:d>
        <m:r>
          <m:rPr>
            <m:sty m:val="p"/>
          </m:rPr>
          <m:t>=</m:t>
        </m:r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sSub>
                  <m:e>
                    <m:r>
                      <m:t>θ</m:t>
                    </m:r>
                  </m:e>
                  <m:sub>
                    <m:r>
                      <m:t>b</m:t>
                    </m:r>
                  </m:sub>
                </m:sSub>
              </m:e>
            </m:acc>
          </m:e>
        </m:d>
        <m:r>
          <m:rPr>
            <m:sty m:val="p"/>
          </m:rPr>
          <m:t>−</m:t>
        </m:r>
        <m:r>
          <m:t>θ</m:t>
        </m:r>
        <m:r>
          <m:rPr>
            <m:sty m:val="p"/>
          </m:rPr>
          <m:t>=</m:t>
        </m:r>
        <m:r>
          <m:t>w</m:t>
        </m:r>
        <m:r>
          <m:t>θ</m:t>
        </m:r>
        <m:r>
          <m:rPr>
            <m:sty m:val="p"/>
          </m:rPr>
          <m:t>+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w</m:t>
            </m:r>
          </m:e>
        </m:d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θ</m:t>
        </m:r>
      </m:oMath>
      <w:r>
        <w:t xml:space="preserve">. Notice that the first two terms add up to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only if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θ</m:t>
        </m:r>
      </m:oMath>
      <w:r>
        <w:t xml:space="preserve">. For all</w:t>
      </w:r>
      <w:r>
        <w:t xml:space="preserve"> </w:t>
      </w:r>
      <m:oMath>
        <m:r>
          <m:t>μ</m:t>
        </m:r>
        <m:r>
          <m:rPr>
            <m:sty m:val="p"/>
          </m:rPr>
          <m:t>≠</m:t>
        </m:r>
        <m:r>
          <m:t>θ</m:t>
        </m:r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sSub>
              <m:e>
                <m:r>
                  <m:t>θ</m:t>
                </m:r>
              </m:e>
              <m:sub>
                <m:r>
                  <m:t>b</m:t>
                </m:r>
              </m:sub>
            </m:sSub>
          </m:e>
        </m:acc>
      </m:oMath>
      <w:r>
        <w:t xml:space="preserve"> </w:t>
      </w:r>
      <w:r>
        <w:t xml:space="preserve">is biased!</w:t>
      </w:r>
    </w:p>
    <w:p>
      <w:pPr>
        <w:pStyle w:val="FirstParagraph"/>
      </w:pPr>
      <w:r>
        <w:t xml:space="preserve">A biased estimator seems undesirable, but can actually be useful in this</w:t>
      </w:r>
      <w:r>
        <w:t xml:space="preserve"> </w:t>
      </w:r>
      <w:r>
        <w:t xml:space="preserve">setting. Imagine</w:t>
      </w:r>
      <w:r>
        <w:t xml:space="preserve"> </w:t>
      </w:r>
      <w:r>
        <w:t xml:space="preserve">“biasing”</w:t>
      </w:r>
      <w:r>
        <w:t xml:space="preserve"> </w:t>
      </w:r>
      <w:r>
        <w:t xml:space="preserve">the estimator</w:t>
      </w:r>
      <w:r>
        <w:t xml:space="preserve"> </w:t>
      </w:r>
      <w:r>
        <w:rPr>
          <w:i/>
          <w:iCs/>
        </w:rPr>
        <w:t xml:space="preserve">towards the true mean</w:t>
      </w:r>
      <w:r>
        <w:t xml:space="preserve"> </w:t>
      </w:r>
      <w:r>
        <w:t xml:space="preserve">to obtain a</w:t>
      </w:r>
      <w:r>
        <w:t xml:space="preserve"> </w:t>
      </w:r>
      <w:r>
        <w:t xml:space="preserve">more accurate estimate. Thus it is useful to recall using the Mean Squared Error</w:t>
      </w:r>
      <w:r>
        <w:t xml:space="preserve"> </w:t>
      </w:r>
      <w:r>
        <w:t xml:space="preserve">as another measure of estimator performance, which measures how close an</w:t>
      </w:r>
      <w:r>
        <w:t xml:space="preserve"> </w:t>
      </w:r>
      <w:r>
        <w:t xml:space="preserve">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will be to the true population parameter</w:t>
      </w:r>
      <w:r>
        <w:t xml:space="preserve"> </w:t>
      </w:r>
      <m:oMath>
        <m:r>
          <m:t>θ</m:t>
        </m:r>
      </m:oMath>
      <w:r>
        <w:t xml:space="preserve">, on</w:t>
      </w:r>
      <w:r>
        <w:t xml:space="preserve"> </w:t>
      </w:r>
      <w:r>
        <w:t xml:space="preserve">average: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b/>
          <w:bCs/>
        </w:rPr>
        <w:t xml:space="preserve">Mean Squared Error</w:t>
      </w:r>
      <w:r>
        <w:t xml:space="preserve"> </w:t>
      </w:r>
      <w:r>
        <w:t xml:space="preserve">(MSE) of 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nor/>
              <m:sty m:val="p"/>
            </m:rPr>
            <m:t>MSE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rPr>
              <m:sty m:val="p"/>
            </m:rPr>
            <m:t>=</m:t>
          </m:r>
          <m:r>
            <m:rPr>
              <m:nor/>
              <m:sty m:val="p"/>
            </m:rPr>
            <m:t>Var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rPr>
              <m:sty m:val="p"/>
            </m:rPr>
            <m:t>+</m:t>
          </m:r>
          <m:sSup>
            <m:e>
              <m:r>
                <m:rPr>
                  <m:nor/>
                  <m:sty m:val="p"/>
                </m:rPr>
                <m:t>Bias</m:t>
              </m:r>
            </m:e>
            <m:sup>
              <m:r>
                <m:t>2</m:t>
              </m:r>
            </m:sup>
          </m:sSup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</m:oMath>
      </m:oMathPara>
    </w:p>
    <w:p>
      <w:pPr>
        <w:pStyle w:val="FirstParagraph"/>
      </w:pPr>
      <w:r>
        <w:t xml:space="preserve">Let’s compare the MSE of</w:t>
      </w:r>
      <w:r>
        <w:t xml:space="preserve"> </w:t>
      </w:r>
      <m:oMath>
        <m:acc>
          <m:accPr>
            <m:chr m:val="̂"/>
          </m:accPr>
          <m:e>
            <m:sSub>
              <m:e>
                <m:r>
                  <m:t>θ</m:t>
                </m:r>
              </m:e>
              <m:sub>
                <m:r>
                  <m:t>b</m:t>
                </m:r>
              </m:sub>
            </m:sSub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sSub>
              <m:e>
                <m:r>
                  <m:t>θ</m:t>
                </m:r>
              </m:e>
              <m:sub>
                <m:r>
                  <m:t>e</m:t>
                </m:r>
              </m:sub>
            </m:sSub>
          </m:e>
        </m:acc>
      </m:oMath>
      <w:r>
        <w:t xml:space="preserve">:</w:t>
      </w:r>
    </w:p>
    <w:p>
      <w:pPr>
        <w:pStyle w:val="Compact"/>
        <w:numPr>
          <w:ilvl w:val="0"/>
          <w:numId w:val="1015"/>
        </w:numPr>
      </w:pPr>
      <m:oMath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sSub>
                  <m:e>
                    <m:r>
                      <m:t>θ</m:t>
                    </m:r>
                  </m:e>
                  <m:sub>
                    <m:r>
                      <m:t>e</m:t>
                    </m:r>
                  </m:sub>
                </m:sSub>
              </m:e>
            </m:acc>
          </m:e>
        </m:d>
        <m:r>
          <m:rPr>
            <m:sty m:val="p"/>
          </m:rPr>
          <m:t>=</m:t>
        </m:r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num>
          <m:den>
            <m:r>
              <m:t>n</m:t>
            </m:r>
          </m:den>
        </m:f>
      </m:oMath>
    </w:p>
    <w:p>
      <w:pPr>
        <w:pStyle w:val="Compact"/>
        <w:numPr>
          <w:ilvl w:val="0"/>
          <w:numId w:val="1015"/>
        </w:numPr>
      </w:pPr>
      <m:oMath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sSub>
                  <m:e>
                    <m:r>
                      <m:t>θ</m:t>
                    </m:r>
                  </m:e>
                  <m:sub>
                    <m:r>
                      <m:t>b</m:t>
                    </m:r>
                  </m:sub>
                </m:sSub>
              </m:e>
            </m:acc>
          </m:e>
        </m:d>
        <m:r>
          <m:rPr>
            <m:sty m:val="p"/>
          </m:rPr>
          <m:t>=</m:t>
        </m:r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r>
              <m:t>w</m:t>
            </m:r>
            <m:sSub>
              <m:e>
                <m:r>
                  <m:t>θ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w</m:t>
                </m:r>
              </m:e>
            </m:d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r>
              <m:t>w</m:t>
            </m:r>
            <m:r>
              <m:t>θ</m:t>
            </m:r>
          </m:e>
        </m:d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num>
          <m:den>
            <m:r>
              <m:t>n</m:t>
            </m:r>
          </m:den>
        </m:f>
      </m:oMath>
    </w:p>
    <w:p>
      <w:pPr>
        <w:pStyle w:val="FirstParagraph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MSE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e</m:t>
                      </m:r>
                    </m:sub>
                  </m:sSub>
                </m:e>
              </m:acc>
            </m:e>
          </m:d>
          <m:r>
            <m:rPr>
              <m:sty m:val="p"/>
            </m:rPr>
            <m:t>=</m:t>
          </m:r>
          <m:r>
            <m:rPr>
              <m:nor/>
              <m:sty m:val="p"/>
            </m:rPr>
            <m:t>Var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e</m:t>
                      </m:r>
                    </m:sub>
                  </m:sSub>
                </m:e>
              </m:acc>
            </m:e>
          </m:d>
          <m:r>
            <m:rPr>
              <m:sty m:val="p"/>
            </m:rPr>
            <m:t>+</m:t>
          </m:r>
          <m:sSup>
            <m:e>
              <m:r>
                <m:rPr>
                  <m:nor/>
                  <m:sty m:val="p"/>
                </m:rPr>
                <m:t>Bias</m:t>
              </m:r>
            </m:e>
            <m:sup>
              <m:r>
                <m:t>2</m:t>
              </m:r>
            </m:sup>
          </m:sSup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e</m:t>
                      </m:r>
                    </m:sub>
                  </m:sSub>
                </m:e>
              </m:acc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n</m:t>
              </m:r>
            </m:den>
          </m:f>
          <m:r>
            <m:rPr>
              <m:sty m:val="p"/>
            </m:rPr>
            <m:t>+</m:t>
          </m:r>
          <m:r>
            <m:t>0</m:t>
          </m:r>
        </m:oMath>
      </m:oMathPara>
    </w:p>
    <w:p>
      <w:pPr>
        <w:pStyle w:val="FirstParagraph"/>
      </w:pPr>
    </w:p>
    <w:p>
      <w:pPr>
        <w:pStyle w:val="BodyText"/>
      </w:pPr>
      <w:r>
        <w:t xml:space="preserve">Notice that</w:t>
      </w:r>
      <w:r>
        <w:t xml:space="preserve"> </w:t>
      </w:r>
    </w:p>
    <w:p>
      <w:pPr>
        <w:pStyle w:val="BodyText"/>
      </w:pPr>
      <w:r>
        <w:t xml:space="preserve">So the Bayesian estimator has lower mean squared error than the ML estimate as</w:t>
      </w:r>
      <w:r>
        <w:t xml:space="preserve"> </w:t>
      </w:r>
      <w:r>
        <w:t xml:space="preserve">long as values of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are picked such that this inequality</w:t>
      </w:r>
      <w:r>
        <w:t xml:space="preserve"> </w:t>
      </w:r>
      <w:r>
        <w:t xml:space="preserve">holds - intutively, if your</w:t>
      </w:r>
      <w:r>
        <w:t xml:space="preserve"> </w:t>
      </w:r>
      <w:r>
        <w:t xml:space="preserve">“guess”</w:t>
      </w:r>
      <w:r>
        <w:t xml:space="preserve"> </w:t>
      </w:r>
      <w:r>
        <w:t xml:space="preserve">about the prior is not far from the truth.</w:t>
      </w:r>
    </w:p>
    <w:bookmarkEnd w:id="37"/>
    <w:bookmarkStart w:id="38" w:name="Xc1752ab441a894e6e5bfb9a744202f0bc53f67a"/>
    <w:p>
      <w:pPr>
        <w:pStyle w:val="Heading1"/>
      </w:pPr>
      <w:r>
        <w:t xml:space="preserve">5. Prior specification based on expectations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normal model can be shown to be an 2-dimensional exponential model.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</m:oMath>
      <w:r>
        <w:t xml:space="preserve">-dimensional exponential family model has densities of the form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rPr>
                  <m:sty m:val="b"/>
                </m:rPr>
                <m:t>ϕ</m:t>
              </m:r>
            </m:e>
          </m:d>
          <m:r>
            <m:rPr>
              <m:sty m:val="p"/>
            </m:rPr>
            <m:t>=</m:t>
          </m:r>
          <m:r>
            <m:t>h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t>c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b"/>
                </m:rPr>
                <m:t>ϕ</m:t>
              </m:r>
            </m:e>
          </m:d>
          <m:r>
            <m:rPr>
              <m:nor/>
              <m:sty m:val="p"/>
            </m:rPr>
            <m:t>exp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rPr>
                      <m:sty m:val="b"/>
                    </m:rPr>
                    <m:t>ϕ</m:t>
                  </m:r>
                </m:e>
                <m:sup>
                  <m:r>
                    <m:t>T</m:t>
                  </m:r>
                </m:sup>
              </m:sSup>
              <m:r>
                <m:rPr>
                  <m:sty m:val="b"/>
                </m:rPr>
                <m:t>t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</m:e>
          </m:d>
        </m:oMath>
      </m:oMathPara>
    </w:p>
    <w:p>
      <w:pPr>
        <w:pStyle w:val="FirstParagraph"/>
      </w:pPr>
      <w:r>
        <w:t xml:space="preserve">Recall the normal density: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r>
            <m:rPr>
              <m:nor/>
              <m:sty m:val="p"/>
            </m:rPr>
            <m:t>exp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θ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d>
        </m:oMath>
      </m:oMathPara>
    </w:p>
    <w:p>
      <w:pPr>
        <w:pStyle w:val="FirstParagraph"/>
      </w:pPr>
      <w:r>
        <w:t xml:space="preserve">For clarity later, let’s expand the quadratic term in the exponential: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r>
            <m:rPr>
              <m:nor/>
              <m:sty m:val="p"/>
            </m:rPr>
            <m:t>exp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θ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θ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d>
        </m:oMath>
      </m:oMathPara>
    </w:p>
    <w:p>
      <w:pPr>
        <w:pStyle w:val="FirstParagraph"/>
      </w:pPr>
      <w:r>
        <w:t xml:space="preserve">Given the exponential family parameters</w:t>
      </w:r>
    </w:p>
    <w:p>
      <w:pPr>
        <w:pStyle w:val="Compact"/>
        <w:numPr>
          <w:ilvl w:val="0"/>
          <w:numId w:val="1016"/>
        </w:numPr>
      </w:pPr>
      <m:oMath>
        <m:r>
          <m:rPr>
            <m:sty m:val="b"/>
          </m:rPr>
          <m:t>t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pStyle w:val="Compact"/>
        <w:numPr>
          <w:ilvl w:val="0"/>
          <w:numId w:val="1016"/>
        </w:numPr>
      </w:pPr>
      <m:oMath>
        <m:r>
          <m:rPr>
            <m:sty m:val="b"/>
          </m:rPr>
          <m:t>ϕ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/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2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</m:oMath>
    </w:p>
    <w:p>
      <w:pPr>
        <w:pStyle w:val="Compact"/>
        <w:numPr>
          <w:ilvl w:val="0"/>
          <w:numId w:val="1016"/>
        </w:numPr>
      </w:pPr>
      <m:oMath>
        <m:r>
          <m:t>c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b"/>
              </m:rPr>
              <m:t>ϕ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|"/>
                <m:sepChr m:val=""/>
                <m:endChr m:val="|"/>
                <m:grow/>
              </m:dPr>
              <m:e>
                <m:sSub>
                  <m:e>
                    <m:r>
                      <m:t>ϕ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nor/>
            <m:sty m:val="p"/>
          </m:rPr>
          <m:t>exp</m:t>
        </m:r>
        <m:d>
          <m:dPr>
            <m:begChr m:val="("/>
            <m:sepChr m:val=""/>
            <m:endChr m:val=")"/>
            <m:grow/>
          </m:dPr>
          <m:e>
            <m:sSubSup>
              <m:e>
                <m:r>
                  <m:t>ϕ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/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2</m:t>
                </m:r>
                <m:sSub>
                  <m:e>
                    <m:r>
                      <m:t>ϕ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</m:d>
      </m:oMath>
    </w:p>
    <w:p>
      <w:pPr>
        <w:pStyle w:val="Compact"/>
        <w:numPr>
          <w:ilvl w:val="0"/>
          <w:numId w:val="1016"/>
        </w:numPr>
      </w:pPr>
      <m:oMath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π</m:t>
            </m:r>
          </m:e>
        </m:rad>
      </m:oMath>
    </w:p>
    <w:p>
      <w:pPr>
        <w:pStyle w:val="FirstParagraph"/>
      </w:pPr>
      <w:r>
        <w:t xml:space="preserve">You can reconstruct the normal density:</w:t>
      </w:r>
    </w:p>
    <w:p>
      <w:pPr>
        <w:pStyle w:val="BodyText"/>
      </w:pPr>
    </w:p>
    <w:p>
      <w:pPr>
        <w:pStyle w:val="BodyText"/>
      </w:pPr>
      <w:r>
        <w:t xml:space="preserve">The exact algebra is omitted here, but note that once the</w:t>
      </w:r>
      <w:r>
        <w:t xml:space="preserve"> </w:t>
      </w:r>
      <w:r>
        <w:t xml:space="preserve">exponential terms are combined (and the matrix multiplication in the second exp), there</w:t>
      </w:r>
      <w:r>
        <w:t xml:space="preserve"> </w:t>
      </w:r>
      <w:r>
        <w:t xml:space="preserve">are three separate terms added together. With a common factor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−</m:t>
        </m:r>
        <m:r>
          <m:t>2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those three terms are the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2</m:t>
        </m:r>
        <m:r>
          <m:t>θ</m:t>
        </m:r>
        <m:r>
          <m:t>y</m:t>
        </m:r>
      </m:oMath>
      <w:r>
        <w:t xml:space="preserve">, and</w:t>
      </w:r>
      <w:r>
        <w:t xml:space="preserve"> </w:t>
      </w:r>
      <m:oMath>
        <m:sSup>
          <m:e>
            <m:r>
              <m:t>θ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r>
        <w:t xml:space="preserve">the expanded normal density above.</w:t>
      </w:r>
    </w:p>
    <w:p>
      <w:pPr>
        <w:pStyle w:val="BodyText"/>
      </w:pPr>
      <w:r>
        <w:t xml:space="preserve">With exponential family models, we can now</w:t>
      </w:r>
      <w:r>
        <w:t xml:space="preserve"> </w:t>
      </w:r>
      <w:r>
        <w:t xml:space="preserve">“read off”</w:t>
      </w:r>
      <w:r>
        <w:t xml:space="preserve"> </w:t>
      </w:r>
      <w:r>
        <w:t xml:space="preserve">conjugate priors; for the</w:t>
      </w:r>
      <w:r>
        <w:t xml:space="preserve"> </w:t>
      </w:r>
      <m:oMath>
        <m:r>
          <m:t>p</m:t>
        </m:r>
      </m:oMath>
      <w:r>
        <w:t xml:space="preserve">-dimensional case, the prior is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b"/>
              </m:rPr>
              <m:t>ϕ</m:t>
            </m:r>
            <m:r>
              <m:rPr>
                <m:sty m:val="p"/>
              </m:rPr>
              <m:t>∣</m:t>
            </m:r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rPr>
                    <m:sty m:val="b"/>
                  </m:rPr>
                  <m:t>t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∝</m:t>
        </m:r>
        <m:r>
          <m:t>c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b"/>
                  </m:rPr>
                  <m:t>ϕ</m:t>
                </m:r>
              </m:e>
            </m:d>
          </m:e>
          <m:sup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p>
        </m:sSup>
        <m:r>
          <m:rPr>
            <m:nor/>
            <m:sty m:val="p"/>
          </m:rPr>
          <m:t>exp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sSubSup>
              <m:e>
                <m:r>
                  <m:rPr>
                    <m:sty m:val="b"/>
                  </m:rPr>
                  <m:t>t</m:t>
                </m:r>
              </m:e>
              <m:sub>
                <m:r>
                  <m:t>0</m:t>
                </m:r>
              </m:sub>
              <m:sup>
                <m:r>
                  <m:t>T</m:t>
                </m:r>
              </m:sup>
            </m:sSubSup>
            <m:r>
              <m:rPr>
                <m:sty m:val="b"/>
              </m:rPr>
              <m:t>ϕ</m:t>
            </m:r>
          </m:e>
        </m:d>
      </m:oMath>
      <w:r>
        <w:t xml:space="preserve">. Using the change of variables formula (which seems very</w:t>
      </w:r>
      <w:r>
        <w:t xml:space="preserve"> </w:t>
      </w:r>
      <w:r>
        <w:t xml:space="preserve">complicated), you can reparamaterize the corresponding prior in terms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which gives a prior that is the product of two priors</w:t>
      </w:r>
      <w:r>
        <w:t xml:space="preserve"> </w:t>
      </w:r>
      <w:r>
        <w:t xml:space="preserve">we had determined previously to be conjugate: the normal and inverse-gamma densities.</w:t>
      </w:r>
    </w:p>
    <w:p>
      <w:pPr>
        <w:pStyle w:val="BodyText"/>
      </w:pPr>
      <w:r>
        <w:t xml:space="preserve">There are some more details on the significance of specifying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"/>
              </m:rPr>
              <m:t>t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that I am skipping, since it essentially mirrors the prior</w:t>
      </w:r>
      <w:r>
        <w:t xml:space="preserve"> </w:t>
      </w:r>
      <w:r>
        <w:t xml:space="preserve">specification advice in the previous sections.</w:t>
      </w:r>
    </w:p>
    <w:bookmarkEnd w:id="38"/>
    <w:bookmarkStart w:id="39" w:name="normal-model-for-non-normal-data"/>
    <w:p>
      <w:pPr>
        <w:pStyle w:val="Heading1"/>
      </w:pPr>
      <w:r>
        <w:t xml:space="preserve">6. Normal model for non-normal data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Because of the central limit theorem etc., we often use the normal model for</w:t>
      </w:r>
      <w:r>
        <w:t xml:space="preserve"> </w:t>
      </w:r>
      <w:r>
        <w:t xml:space="preserve">non-normal data. This is especially applicable when 1) we are measuring summary</w:t>
      </w:r>
      <w:r>
        <w:t xml:space="preserve"> </w:t>
      </w:r>
      <w:r>
        <w:t xml:space="preserve">statistics of a population, such as the mean, and 2) when we are measuring</w:t>
      </w:r>
      <w:r>
        <w:t xml:space="preserve"> </w:t>
      </w:r>
      <w:r>
        <w:t xml:space="preserve">variables that might be the additive result of many underlying factors, which</w:t>
      </w:r>
      <w:r>
        <w:t xml:space="preserve"> </w:t>
      </w:r>
      <w:r>
        <w:t xml:space="preserve">results in an approximately normal variable.</w:t>
      </w:r>
    </w:p>
    <w:bookmarkEnd w:id="39"/>
    <w:bookmarkStart w:id="58" w:name="exercises"/>
    <w:p>
      <w:pPr>
        <w:pStyle w:val="Heading1"/>
      </w:pPr>
      <w:r>
        <w:t xml:space="preserve">7. Exercises</w:t>
      </w:r>
    </w:p>
    <w:bookmarkStart w:id="44" w:name="section"/>
    <w:p>
      <w:pPr>
        <w:pStyle w:val="Heading2"/>
      </w:pPr>
      <w:r>
        <w:t xml:space="preserve">7.1 5.1</w:t>
      </w:r>
    </w:p>
    <w:p>
      <w:pPr>
        <w:pStyle w:val="SourceCode"/>
      </w:pPr>
      <w:r>
        <w:rPr>
          <w:rStyle w:val="NormalTok"/>
        </w:rPr>
        <w:t xml:space="preserve">school1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scan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'Exercises/school1.dat'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school2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scan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'Exercises/school2.dat'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school3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scan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'Exercises/school3.dat'</w:t>
      </w:r>
      <w:r>
        <w:rPr>
          <w:rStyle w:val="NormalTok"/>
        </w:rPr>
        <w:t xml:space="preserve">)</w:t>
      </w:r>
    </w:p>
    <w:bookmarkStart w:id="40" w:name="a"/>
    <w:p>
      <w:pPr>
        <w:pStyle w:val="Heading3"/>
      </w:pPr>
      <w:r>
        <w:t xml:space="preserve">7.1.1 a</w:t>
      </w:r>
    </w:p>
    <w:p>
      <w:pPr>
        <w:pStyle w:val="SourceCode"/>
      </w:pP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NormalTok"/>
        </w:rPr>
        <w:t xml:space="preserve">k0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NormalTok"/>
        </w:rPr>
        <w:t xml:space="preserve">params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(school1, school2, school3),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(sdata)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Statistics of data</w:t>
      </w:r>
      <w:r>
        <w:br/>
      </w:r>
      <w:r>
        <w:rPr>
          <w:rStyle w:val="NormalTok"/>
        </w:rPr>
        <w:t xml:space="preserve">  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(sdata)</w:t>
      </w:r>
      <w:r>
        <w:br/>
      </w:r>
      <w:r>
        <w:rPr>
          <w:rStyle w:val="NormalTok"/>
        </w:rPr>
        <w:t xml:space="preserve">  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(sdata)</w:t>
      </w:r>
      <w:r>
        <w:br/>
      </w:r>
      <w:r>
        <w:rPr>
          <w:rStyle w:val="NormalTok"/>
        </w:rPr>
        <w:t xml:space="preserve">  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(sdata)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Compute posterior values, mun, s2n, kappan, nun</w:t>
      </w:r>
      <w:r>
        <w:br/>
      </w:r>
      <w:r>
        <w:rPr>
          <w:rStyle w:val="NormalTok"/>
        </w:rPr>
        <w:t xml:space="preserve">  kn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k0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nun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mun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(k0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kn</w:t>
      </w:r>
      <w:r>
        <w:br/>
      </w:r>
      <w:r>
        <w:rPr>
          <w:rStyle w:val="NormalTok"/>
        </w:rPr>
        <w:t xml:space="preserve">  s2n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nun)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((k0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kn)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(ybar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mu0)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'mun'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mun, </w:t>
      </w:r>
      <w:r>
        <w:rPr>
          <w:rStyle w:val="StringTok"/>
        </w:rPr>
        <w:t xml:space="preserve">'s2n'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s2n, </w:t>
      </w:r>
      <w:r>
        <w:rPr>
          <w:rStyle w:val="StringTok"/>
        </w:rPr>
        <w:t xml:space="preserve">'kn'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kn, </w:t>
      </w:r>
      <w:r>
        <w:rPr>
          <w:rStyle w:val="StringTok"/>
        </w:rPr>
        <w:t xml:space="preserve">'nun'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nun)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params.df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(params[[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]], params[[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]], params[[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]]))</w:t>
      </w:r>
      <w:r>
        <w:br/>
      </w:r>
      <w:r>
        <w:rPr>
          <w:rStyle w:val="FunctionTok"/>
        </w:rPr>
        <w:t xml:space="preserve">rownames</w:t>
      </w:r>
      <w:r>
        <w:rPr>
          <w:rStyle w:val="NormalTok"/>
        </w:rPr>
        <w:t xml:space="preserve">(params.df)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'school1'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'school2'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'school3'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CommentTok"/>
        </w:rPr>
        <w:t xml:space="preserve"># 5000 monte carlo samples. Need to estimate \sigma^2 before \theta.</w:t>
      </w:r>
      <w:r>
        <w:br/>
      </w:r>
      <w:r>
        <w:rPr>
          <w:rStyle w:val="CommentTok"/>
        </w:rPr>
        <w:t xml:space="preserve"># Means and confidence intervals of the \sigma^2 can easily be computed, but for</w:t>
      </w:r>
      <w:r>
        <w:br/>
      </w:r>
      <w:r>
        <w:rPr>
          <w:rStyle w:val="CommentTok"/>
        </w:rPr>
        <w:t xml:space="preserve"># brevity, only \theta is output</w:t>
      </w:r>
      <w:r>
        <w:br/>
      </w:r>
      <w:r>
        <w:rPr>
          <w:rStyle w:val="NormalTok"/>
        </w:rPr>
        <w:t xml:space="preserve">school1.s2.mc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params.df[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params.df[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s2n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params.df[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school1.theta.mc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params.df[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mun,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(school1.s2.mc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params.df[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kn))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(school1.theta.mc,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 2.5%       50%     97.5% </w:t>
      </w:r>
      <w:r>
        <w:br/>
      </w:r>
      <w:r>
        <w:rPr>
          <w:rStyle w:val="CommentTok"/>
        </w:rPr>
        <w:t xml:space="preserve">#&gt;  7.768606  9.270576 10.814815</w:t>
      </w:r>
      <w:r>
        <w:br/>
      </w:r>
      <w:r>
        <w:br/>
      </w:r>
      <w:r>
        <w:rPr>
          <w:rStyle w:val="NormalTok"/>
        </w:rPr>
        <w:t xml:space="preserve">school2.s2.mc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params.df[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params.df[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s2n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params.df[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school2.theta.mc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params.df[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mun,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(school2.s2.mc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params.df[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kn))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(school2.theta.mc,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5.192731 6.944084 8.734369</w:t>
      </w:r>
      <w:r>
        <w:br/>
      </w:r>
      <w:r>
        <w:br/>
      </w:r>
      <w:r>
        <w:rPr>
          <w:rStyle w:val="NormalTok"/>
        </w:rPr>
        <w:t xml:space="preserve">school3.s2.mc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params.df[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params.df[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s2n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params.df[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school3.theta.mc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params.df[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mun,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(school3.s2.mc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params.df[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]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kn))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(school3.theta.mc,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5.772922 7.813719 9.843089</w:t>
      </w:r>
    </w:p>
    <w:bookmarkEnd w:id="40"/>
    <w:bookmarkStart w:id="41" w:name="b"/>
    <w:p>
      <w:pPr>
        <w:pStyle w:val="Heading3"/>
      </w:pPr>
      <w:r>
        <w:t xml:space="preserve">7.1.2 b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(combinat)</w:t>
      </w:r>
      <w:r>
        <w:br/>
      </w:r>
      <w:r>
        <w:rPr>
          <w:rStyle w:val="NormalTok"/>
        </w:rPr>
        <w:t xml:space="preserve">school.theta.mc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(school1.theta.mc, school2.theta.mc, school3.theta.mc)</w:t>
      </w:r>
      <w:r>
        <w:br/>
      </w:r>
      <w:r>
        <w:rPr>
          <w:rStyle w:val="NormalTok"/>
        </w:rPr>
        <w:t xml:space="preserve">perms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permn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theta.lt.probs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(perms,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(perm)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This is a vector e.g. c(1, 3, 2)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(school.theta.mc[[perm[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]]]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school.theta.mc[[perm[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]]] </w:t>
      </w:r>
      <w:r>
        <w:rPr>
          <w:rStyle w:val="SpecialCharTok"/>
        </w:rPr>
        <w:t xml:space="preserve">&amp;</w:t>
      </w:r>
      <w:r>
        <w:br/>
      </w:r>
      <w:r>
        <w:rPr>
          <w:rStyle w:val="NormalTok"/>
        </w:rPr>
        <w:t xml:space="preserve">         school.theta.mc[[perm[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]]]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school.theta.mc[[perm[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]]])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(theta.lt.probs)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(perms,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(v)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(v, </w:t>
      </w:r>
      <w:r>
        <w:rPr>
          <w:rStyle w:val="AttributeTok"/>
        </w:rPr>
        <w:t xml:space="preserve">collapse =</w:t>
      </w:r>
      <w:r>
        <w:rPr>
          <w:rStyle w:val="StringTok"/>
        </w:rPr>
        <w:t xml:space="preserve">' &lt; '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theta.lt.probs.stacked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stack</w:t>
      </w:r>
      <w:r>
        <w:rPr>
          <w:rStyle w:val="NormalTok"/>
        </w:rPr>
        <w:t xml:space="preserve">(theta.lt.probs)[,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)] </w:t>
      </w:r>
      <w:r>
        <w:rPr>
          <w:rStyle w:val="CommentTok"/>
        </w:rPr>
        <w:t xml:space="preserve"># Reverse stack order</w:t>
      </w:r>
      <w:r>
        <w:br/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(theta.lt.probs.stacked, </w:t>
      </w:r>
      <w:r>
        <w:rPr>
          <w:rStyle w:val="AttributeTok"/>
        </w:rPr>
        <w:t xml:space="preserve">col.names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'inequality'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'prob'</w:t>
      </w:r>
      <w:r>
        <w:rPr>
          <w:rStyle w:val="NormalTok"/>
        </w:rPr>
        <w:t xml:space="preserve">))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inequality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prob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&lt; 2 &lt; 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&lt; 3 &lt; 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&lt; 1 &lt; 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0.0132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&lt; 2 &lt; 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0.2452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&lt; 3 &lt; 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0.6148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&lt; 1 &lt; 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0.1172</w:t>
            </w:r>
          </w:p>
        </w:tc>
      </w:tr>
    </w:tbl>
    <w:bookmarkEnd w:id="41"/>
    <w:bookmarkStart w:id="42" w:name="c"/>
    <w:p>
      <w:pPr>
        <w:pStyle w:val="Heading3"/>
      </w:pPr>
      <w:r>
        <w:t xml:space="preserve">7.1.3 c</w:t>
      </w:r>
    </w:p>
    <w:p>
      <w:pPr>
        <w:pStyle w:val="SourceCode"/>
      </w:pPr>
      <w:r>
        <w:rPr>
          <w:rStyle w:val="NormalTok"/>
        </w:rPr>
        <w:t xml:space="preserve">school.s2.mc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(school1.s2.mc, school2.s2.mc, school3.s2.mc)</w:t>
      </w:r>
      <w:r>
        <w:br/>
      </w:r>
      <w:r>
        <w:rPr>
          <w:rStyle w:val="NormalTok"/>
        </w:rPr>
        <w:t xml:space="preserve">school.y.mc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(i) {</w:t>
      </w:r>
      <w:r>
        <w:br/>
      </w:r>
      <w:r>
        <w:rPr>
          <w:rStyle w:val="NormalTok"/>
        </w:rPr>
        <w:t xml:space="preserve">  this.s2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school.s2.mc[[i]]</w:t>
      </w:r>
      <w:r>
        <w:br/>
      </w:r>
      <w:r>
        <w:rPr>
          <w:rStyle w:val="NormalTok"/>
        </w:rPr>
        <w:t xml:space="preserve">  this.theta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school.theta.mc[[i]]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this.theta,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(this.s2))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y.lt.probs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(perms,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(perm)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This is a vector e.g. c(1, 3, 2)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(school.y.mc[[perm[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]]]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school.y.mc[[perm[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]]] </w:t>
      </w:r>
      <w:r>
        <w:rPr>
          <w:rStyle w:val="SpecialCharTok"/>
        </w:rPr>
        <w:t xml:space="preserve">&amp;</w:t>
      </w:r>
      <w:r>
        <w:br/>
      </w:r>
      <w:r>
        <w:rPr>
          <w:rStyle w:val="NormalTok"/>
        </w:rPr>
        <w:t xml:space="preserve">         school.y.mc[[perm[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]]]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school.y.mc[[perm[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]]])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(y.lt.probs)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(perms,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(v)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(v, </w:t>
      </w:r>
      <w:r>
        <w:rPr>
          <w:rStyle w:val="AttributeTok"/>
        </w:rPr>
        <w:t xml:space="preserve">collapse =</w:t>
      </w:r>
      <w:r>
        <w:rPr>
          <w:rStyle w:val="StringTok"/>
        </w:rPr>
        <w:t xml:space="preserve">' &lt; '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y.lt.probs.stacked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stack</w:t>
      </w:r>
      <w:r>
        <w:rPr>
          <w:rStyle w:val="NormalTok"/>
        </w:rPr>
        <w:t xml:space="preserve">(y.lt.probs)[,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)] </w:t>
      </w:r>
      <w:r>
        <w:rPr>
          <w:rStyle w:val="CommentTok"/>
        </w:rPr>
        <w:t xml:space="preserve"># Reverse stack order</w:t>
      </w:r>
      <w:r>
        <w:br/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(y.lt.probs.stacked, </w:t>
      </w:r>
      <w:r>
        <w:rPr>
          <w:rStyle w:val="AttributeTok"/>
        </w:rPr>
        <w:t xml:space="preserve">col.names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'inequality'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'prob'</w:t>
      </w:r>
      <w:r>
        <w:rPr>
          <w:rStyle w:val="NormalTok"/>
        </w:rPr>
        <w:t xml:space="preserve">))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inequality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prob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&lt; 2 &lt; 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0.1146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&lt; 3 &lt; 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&lt; 1 &lt; 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0.1412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&lt; 2 &lt; 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0.2170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&lt; 3 &lt; 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0.2268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&lt; 1 &lt; 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0.1980</w:t>
            </w:r>
          </w:p>
        </w:tc>
      </w:tr>
    </w:tbl>
    <w:bookmarkEnd w:id="42"/>
    <w:bookmarkStart w:id="43" w:name="d"/>
    <w:p>
      <w:pPr>
        <w:pStyle w:val="Heading3"/>
      </w:pPr>
      <w:r>
        <w:t xml:space="preserve">7.1.4 d</w:t>
      </w:r>
    </w:p>
    <w:p>
      <w:pPr>
        <w:pStyle w:val="SourceCode"/>
      </w:pPr>
      <w:r>
        <w:rPr>
          <w:rStyle w:val="NormalTok"/>
        </w:rPr>
        <w:t xml:space="preserve">theta1.big.prob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(school.theta.mc[[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school.theta.mc[[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school.theta.mc[[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school.theta.mc[[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]])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(theta1.big.prob)</w:t>
      </w:r>
      <w:r>
        <w:br/>
      </w:r>
      <w:r>
        <w:rPr>
          <w:rStyle w:val="CommentTok"/>
        </w:rPr>
        <w:t xml:space="preserve">#&gt; [1] 0.86</w:t>
      </w:r>
      <w:r>
        <w:br/>
      </w:r>
      <w:r>
        <w:rPr>
          <w:rStyle w:val="NormalTok"/>
        </w:rPr>
        <w:t xml:space="preserve">y1.big.prob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(school.y.mc[[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school.y.mc[[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school.y.mc[[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school.y.mc[[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]])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(y1.big.prob)</w:t>
      </w:r>
      <w:r>
        <w:br/>
      </w:r>
      <w:r>
        <w:rPr>
          <w:rStyle w:val="CommentTok"/>
        </w:rPr>
        <w:t xml:space="preserve">#&gt; [1] 0.4438</w:t>
      </w:r>
    </w:p>
    <w:bookmarkEnd w:id="43"/>
    <w:bookmarkEnd w:id="44"/>
    <w:bookmarkStart w:id="48" w:name="section-1"/>
    <w:p>
      <w:pPr>
        <w:pStyle w:val="Heading2"/>
      </w:pPr>
      <w:r>
        <w:t xml:space="preserve">7.2 5.2</w:t>
      </w:r>
    </w:p>
    <w:p>
      <w:pPr>
        <w:pStyle w:val="SourceCode"/>
      </w:pP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NormalTok"/>
        </w:rPr>
        <w:t xml:space="preserve">n.a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n.b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br/>
      </w:r>
      <w:r>
        <w:rPr>
          <w:rStyle w:val="NormalTok"/>
        </w:rPr>
        <w:t xml:space="preserve">ybar.a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75.2</w:t>
      </w:r>
      <w:r>
        <w:br/>
      </w:r>
      <w:r>
        <w:rPr>
          <w:rStyle w:val="NormalTok"/>
        </w:rPr>
        <w:t xml:space="preserve">s2.a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7.3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ybar.b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77.5</w:t>
      </w:r>
      <w:r>
        <w:br/>
      </w:r>
      <w:r>
        <w:rPr>
          <w:rStyle w:val="NormalTok"/>
        </w:rPr>
        <w:t xml:space="preserve">s2.b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8.1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NormalTok"/>
        </w:rPr>
        <w:t xml:space="preserve">k0nu0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prob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(k0nu0,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 is the common parameter for k0 and nu0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Calculate posterior parameters</w:t>
      </w:r>
      <w:r>
        <w:br/>
      </w:r>
      <w:r>
        <w:rPr>
          <w:rStyle w:val="NormalTok"/>
        </w:rPr>
        <w:t xml:space="preserve">  kn.a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n.a</w:t>
      </w:r>
      <w:r>
        <w:br/>
      </w:r>
      <w:r>
        <w:rPr>
          <w:rStyle w:val="NormalTok"/>
        </w:rPr>
        <w:t xml:space="preserve">  nun.a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n.a</w:t>
      </w:r>
      <w:r>
        <w:br/>
      </w:r>
      <w:r>
        <w:rPr>
          <w:rStyle w:val="NormalTok"/>
        </w:rPr>
        <w:t xml:space="preserve">  mun.a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n.a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ybar.a)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kn.a</w:t>
      </w:r>
      <w:r>
        <w:br/>
      </w:r>
      <w:r>
        <w:rPr>
          <w:rStyle w:val="NormalTok"/>
        </w:rPr>
        <w:t xml:space="preserve">  s2n.a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nun.a)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(n.a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s2.a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((p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n.a)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kn.a)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(ybar.a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mu0)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s2.a.mc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nun.a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s2n.a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nun.a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theta.a.mc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mun.a,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(s2.a.mc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kn.a))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kn.b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n.b</w:t>
      </w:r>
      <w:r>
        <w:br/>
      </w:r>
      <w:r>
        <w:rPr>
          <w:rStyle w:val="NormalTok"/>
        </w:rPr>
        <w:t xml:space="preserve">  nun.b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n.b</w:t>
      </w:r>
      <w:r>
        <w:br/>
      </w:r>
      <w:r>
        <w:rPr>
          <w:rStyle w:val="NormalTok"/>
        </w:rPr>
        <w:t xml:space="preserve">  mun.b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n.b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ybar.b)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kn.b</w:t>
      </w:r>
      <w:r>
        <w:br/>
      </w:r>
      <w:r>
        <w:rPr>
          <w:rStyle w:val="NormalTok"/>
        </w:rPr>
        <w:t xml:space="preserve">  s2n.b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nun.b)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(n.b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s2.b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((p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n.b)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kn.b)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(ybar.b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mu0)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s2.b.mc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nun.b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s2n.b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nun.b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theta.b.mc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mun.b,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(s2.b.mc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kn.b))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(theta.a.mc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theta.b.mc)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FunctionTok"/>
        </w:rPr>
        <w:t xml:space="preserve">qplot</w:t>
      </w:r>
      <w:r>
        <w:rPr>
          <w:rStyle w:val="NormalTok"/>
        </w:rPr>
        <w:t xml:space="preserve">(k0nu0, prob,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'line'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'point'</w:t>
      </w:r>
      <w:r>
        <w:rPr>
          <w:rStyle w:val="NormalTok"/>
        </w:rPr>
        <w:t xml:space="preserve">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5_files/figure-docx/unnamed-chunk-14-1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general, there is weak evidence that</w:t>
      </w:r>
      <w:r>
        <w:t xml:space="preserve"> </w:t>
      </w:r>
      <m:oMath>
        <m:sSub>
          <m:e>
            <m:r>
              <m:t>θ</m:t>
            </m:r>
          </m:e>
          <m:sub>
            <m:r>
              <m:t>A</m:t>
            </m:r>
          </m:sub>
        </m:sSub>
        <m:r>
          <m:rPr>
            <m:sty m:val="p"/>
          </m:rPr>
          <m:t>&lt;</m:t>
        </m:r>
        <m:sSub>
          <m:e>
            <m:r>
              <m:t>θ</m:t>
            </m:r>
          </m:e>
          <m:sub>
            <m:r>
              <m:t>B</m:t>
            </m:r>
          </m:sub>
        </m:sSub>
      </m:oMath>
      <w:r>
        <w:t xml:space="preserve">. Depending on the</w:t>
      </w:r>
      <w:r>
        <w:t xml:space="preserve"> </w:t>
      </w:r>
      <w:r>
        <w:t xml:space="preserve">strength of a person’s confidence in the prior, as quantified by a</w:t>
      </w:r>
      <w:r>
        <w:t xml:space="preserve"> </w:t>
      </w:r>
      <w:r>
        <w:t xml:space="preserve">“prior sample</w:t>
      </w:r>
      <w:r>
        <w:t xml:space="preserve"> </w:t>
      </w:r>
      <w:r>
        <w:t xml:space="preserve">size”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, the posterior probability starts at ~0.58 and declines</w:t>
      </w:r>
      <w:r>
        <w:t xml:space="preserve"> </w:t>
      </w:r>
      <w:r>
        <w:t xml:space="preserve">as strength increases. However, it takes a</w:t>
      </w:r>
      <w:r>
        <w:t xml:space="preserve"> </w:t>
      </w:r>
      <w:r>
        <w:rPr>
          <w:i/>
          <w:iCs/>
        </w:rPr>
        <w:t xml:space="preserve">very</w:t>
      </w:r>
      <w:r>
        <w:t xml:space="preserve"> </w:t>
      </w:r>
      <w:r>
        <w:t xml:space="preserve">strong prior belief for the</w:t>
      </w:r>
      <w:r>
        <w:t xml:space="preserve"> </w:t>
      </w:r>
      <w:r>
        <w:t xml:space="preserve">probability to dip below 0.50.</w:t>
      </w:r>
    </w:p>
    <w:bookmarkEnd w:id="48"/>
    <w:bookmarkStart w:id="49" w:name="section-2"/>
    <w:p>
      <w:pPr>
        <w:pStyle w:val="Heading2"/>
      </w:pPr>
      <w:r>
        <w:t xml:space="preserve">7.3 5.3</w:t>
      </w:r>
    </w:p>
    <w:p>
      <w:pPr>
        <w:pStyle w:val="FirstParagraph"/>
      </w:pPr>
      <w:r>
        <w:t xml:space="preserve">The derivation of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∣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is as follows:</w:t>
      </w:r>
    </w:p>
    <w:p>
      <w:pPr>
        <w:pStyle w:val="BodyText"/>
      </w:pPr>
    </w:p>
    <w:p>
      <w:pPr>
        <w:pStyle w:val="BodyText"/>
      </w:pPr>
      <w:r>
        <w:t xml:space="preserve">This is apparently non-trivial, and requires expanding the quadratic terms in the</w:t>
      </w:r>
      <w:r>
        <w:t xml:space="preserve"> </w:t>
      </w:r>
      <m:oMath>
        <m:r>
          <m:rPr>
            <m:nor/>
            <m:sty m:val="p"/>
          </m:rPr>
          <m:t>exp</m:t>
        </m:r>
      </m:oMath>
      <w:r>
        <w:t xml:space="preserve"> </w:t>
      </w:r>
      <w:r>
        <w:t xml:space="preserve">terms. This step is skipped for now.</w:t>
      </w:r>
    </w:p>
    <w:bookmarkEnd w:id="49"/>
    <w:bookmarkStart w:id="57" w:name="section-3"/>
    <w:p>
      <w:pPr>
        <w:pStyle w:val="Heading2"/>
      </w:pPr>
      <w:r>
        <w:t xml:space="preserve">7.4 5.4</w:t>
      </w:r>
    </w:p>
    <w:bookmarkStart w:id="50" w:name="a-1"/>
    <w:p>
      <w:pPr>
        <w:pStyle w:val="Heading3"/>
      </w:pPr>
      <w:r>
        <w:t xml:space="preserve">7.4.1 a</w:t>
      </w:r>
    </w:p>
    <w:p>
      <w:pPr>
        <w:pStyle w:val="FirstParagraph"/>
      </w:pPr>
      <w:r>
        <w:t xml:space="preserve">The log-likelihood function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is</w:t>
      </w:r>
    </w:p>
    <w:p>
      <w:pPr>
        <w:pStyle w:val="BodyText"/>
      </w:pPr>
    </w:p>
    <w:p>
      <w:pPr>
        <w:pStyle w:val="BodyText"/>
      </w:pPr>
      <w:r>
        <w:t xml:space="preserve">The first derivatives are</w:t>
      </w:r>
    </w:p>
    <w:p>
      <w:pPr>
        <w:pStyle w:val="BodyText"/>
      </w:pPr>
    </w:p>
    <w:p>
      <w:pPr>
        <w:pStyle w:val="BodyText"/>
      </w:pPr>
      <w:r>
        <w:t xml:space="preserve">So 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t>I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is (expectations wrt</w:t>
      </w:r>
      <w:r>
        <w:t xml:space="preserve"> </w:t>
      </w:r>
      <m:oMath>
        <m:r>
          <m:t>Y</m:t>
        </m:r>
      </m:oMath>
      <w:r>
        <w:t xml:space="preserve">)</w:t>
      </w:r>
    </w:p>
    <w:p>
      <w:pPr>
        <w:pStyle w:val="BodyText"/>
      </w:pPr>
    </w:p>
    <w:p>
      <w:pPr>
        <w:pStyle w:val="BodyText"/>
      </w:pPr>
      <w:r>
        <w:t xml:space="preserve">The last one is derived as follows:</w:t>
      </w:r>
    </w:p>
    <w:p>
      <w:pPr>
        <w:pStyle w:val="BodyText"/>
      </w:pPr>
    </w:p>
    <w:p>
      <w:pPr>
        <w:pStyle w:val="BodyText"/>
      </w:pPr>
      <w:r>
        <w:t xml:space="preserve">So Jeffrey’s prior is</w:t>
      </w:r>
    </w:p>
    <w:p>
      <w:pPr>
        <w:pStyle w:val="BodyText"/>
      </w:pPr>
    </w:p>
    <w:bookmarkEnd w:id="50"/>
    <w:bookmarkStart w:id="56" w:name="b-1"/>
    <w:p>
      <w:pPr>
        <w:pStyle w:val="Heading3"/>
      </w:pPr>
      <w:r>
        <w:t xml:space="preserve">7.4.2 b</w:t>
      </w:r>
    </w:p>
    <w:p>
      <w:pPr>
        <w:pStyle w:val="FirstParagraph"/>
      </w:pPr>
    </w:p>
    <w:p>
      <w:pPr>
        <w:pStyle w:val="BodyText"/>
      </w:pPr>
      <w:r>
        <w:t xml:space="preserve">Yes, since there is some normalizing constant that results in the integral over</w:t>
      </w:r>
      <w:r>
        <w:t xml:space="preserve"> </w:t>
      </w:r>
      <m:oMath>
        <m:sSub>
          <m:e>
            <m:r>
              <m:t>p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being equal to 1.</w:t>
      </w:r>
    </w:p>
    <w:p>
      <w:pPr>
        <w:pStyle w:val="BodyText"/>
      </w:pPr>
      <w:r>
        <w:t xml:space="preserve">After some poking around, this is a normal-inverse-chi-squared distribution</w:t>
      </w:r>
      <w:r>
        <w:t xml:space="preserve"> </w:t>
      </w:r>
      <w:r>
        <w:t xml:space="preserve">(Reif 2010)</w:t>
      </w:r>
      <w:r>
        <w:t xml:space="preserve">.</w:t>
      </w:r>
    </w:p>
    <w:bookmarkStart w:id="55" w:name="refs"/>
    <w:bookmarkStart w:id="52" w:name="ref-reif2010"/>
    <w:p>
      <w:pPr>
        <w:pStyle w:val="Bibliography"/>
      </w:pPr>
      <w:r>
        <w:t xml:space="preserve">Reif, David. 2010.</w:t>
      </w:r>
      <w:r>
        <w:t xml:space="preserve"> </w:t>
      </w:r>
      <w:r>
        <w:t xml:space="preserve">“The Student’s t-Distribution.”</w:t>
      </w:r>
      <w:r>
        <w:t xml:space="preserve"> </w:t>
      </w:r>
      <w:hyperlink r:id="rId51">
        <w:r>
          <w:rPr>
            <w:rStyle w:val="Hyperlink"/>
          </w:rPr>
          <w:t xml:space="preserve">https://www2.stat.duke.edu/courses/Fall10/sta114/notes15.pdf</w:t>
        </w:r>
      </w:hyperlink>
      <w:r>
        <w:t xml:space="preserve">.</w:t>
      </w:r>
    </w:p>
    <w:bookmarkEnd w:id="52"/>
    <w:bookmarkStart w:id="54" w:name="ref-wood2009"/>
    <w:p>
      <w:pPr>
        <w:pStyle w:val="Bibliography"/>
      </w:pPr>
      <w:r>
        <w:t xml:space="preserve">Wood, Frank. 2009.</w:t>
      </w:r>
      <w:r>
        <w:t xml:space="preserve"> </w:t>
      </w:r>
      <w:r>
        <w:t xml:space="preserve">“Nuisance Parameters.”</w:t>
      </w:r>
      <w:r>
        <w:t xml:space="preserve"> </w:t>
      </w:r>
      <w:hyperlink r:id="rId53">
        <w:r>
          <w:rPr>
            <w:rStyle w:val="Hyperlink"/>
          </w:rPr>
          <w:t xml:space="preserve">http://www.stat.columbia.edu/~fwood/Teaching/w4315/Fall2009/nuisance_parameters.pdf</w:t>
        </w:r>
      </w:hyperlink>
      <w:r>
        <w:t xml:space="preserve">.</w:t>
      </w:r>
    </w:p>
    <w:bookmarkEnd w:id="54"/>
    <w:bookmarkEnd w:id="55"/>
    <w:bookmarkEnd w:id="56"/>
    <w:bookmarkEnd w:id="57"/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5" Target="media/rId45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hyperlink" Id="rId53" Target="http://www.stat.columbia.edu/~fwood/Teaching/w4315/Fall2009/nuisance_parameters.pdf" TargetMode="External" /><Relationship Type="http://schemas.openxmlformats.org/officeDocument/2006/relationships/hyperlink" Id="rId51" Target="https://www2.stat.duke.edu/courses/Fall10/sta114/notes1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://www.stat.columbia.edu/~fwood/Teaching/w4315/Fall2009/nuisance_parameters.pdf" TargetMode="External" /><Relationship Type="http://schemas.openxmlformats.org/officeDocument/2006/relationships/hyperlink" Id="rId51" Target="https://www2.stat.duke.edu/courses/Fall10/sta114/notes1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The Normal Model</dc:title>
  <dc:creator>Jesse Mu</dc:creator>
  <cp:keywords/>
  <dcterms:created xsi:type="dcterms:W3CDTF">2026-01-09T09:24:04Z</dcterms:created>
  <dcterms:modified xsi:type="dcterms:W3CDTF">2026-01-09T09:24:04Z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2016-10-07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