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71.png" ContentType="image/png"/>
  <Override PartName="/word/media/rId79.png" ContentType="image/png"/>
  <Override PartName="/word/media/rId85.png" ContentType="image/png"/>
  <Override PartName="/word/media/rId95.png" ContentType="image/png"/>
  <Override PartName="/word/media/rId104.png" ContentType="image/png"/>
  <Override PartName="/word/media/rId108.png" ContentType="image/png"/>
  <Override PartName="/word/media/rId21.png" ContentType="image/png"/>
  <Override PartName="/word/media/rId28.png" ContentType="image/png"/>
  <Override PartName="/word/media/rId36.png" ContentType="image/png"/>
  <Override PartName="/word/media/rId49.png" ContentType="image/png"/>
  <Override PartName="/word/media/rId53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3: One-parameter models</w:t>
      </w:r>
    </w:p>
    <w:p>
      <w:pPr>
        <w:pStyle w:val="Author"/>
      </w:pPr>
      <w:r>
        <w:t xml:space="preserve">Jesse Mu</w:t>
      </w:r>
    </w:p>
    <w:p>
      <w:pPr>
        <w:pStyle w:val="Date"/>
      </w:pPr>
      <w:r>
        <w:t xml:space="preserve">2016-09-17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32" w:name="the-binomial-model"/>
    <w:p>
      <w:pPr>
        <w:pStyle w:val="Heading1"/>
      </w:pPr>
      <w:r>
        <w:t xml:space="preserve">1. The Binomial model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1998 General Social Survey: Females over age 65,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rPr>
            <m:nor/>
            <m:sty m:val="p"/>
          </m:rPr>
          <m:t>happy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rPr>
            <m:nor/>
            <m:sty m:val="p"/>
          </m:rPr>
          <m:t>unhappy</m:t>
        </m:r>
      </m:oMath>
      <w:r>
        <w:t xml:space="preserve">.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129</m:t>
        </m:r>
      </m:oMath>
      <w:r>
        <w:t xml:space="preserve">. So let the survey be 129 exchangeable random</w:t>
      </w:r>
      <w:r>
        <w:t xml:space="preserve"> </w:t>
      </w:r>
      <w:r>
        <w:t xml:space="preserve">variables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129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Under our model, conditioned on some</w:t>
      </w:r>
      <w:r>
        <w:t xml:space="preserve"> </w:t>
      </w:r>
      <m:oMath>
        <m:r>
          <m:t>θ</m:t>
        </m:r>
      </m:oMath>
      <w:r>
        <w:t xml:space="preserve">,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are i.i.d. binary random</w:t>
      </w:r>
      <w:r>
        <w:t xml:space="preserve"> </w:t>
      </w:r>
      <w:r>
        <w:t xml:space="preserve">variables with probability</w:t>
      </w:r>
      <w:r>
        <w:t xml:space="preserve"> </w:t>
      </w:r>
      <m:oMath>
        <m:r>
          <m:t>θ</m:t>
        </m:r>
      </m:oMath>
      <w:r>
        <w:t xml:space="preserve">. So the joint probability is</w:t>
      </w:r>
    </w:p>
    <w:p>
      <w:pPr>
        <w:pStyle w:val="BodyText"/>
      </w:pPr>
    </w:p>
    <w:p>
      <w:pPr>
        <w:pStyle w:val="BodyText"/>
      </w:pPr>
      <w:r>
        <w:t xml:space="preserve">Now we need to specify our prior distribution</w:t>
      </w:r>
    </w:p>
    <w:bookmarkStart w:id="20" w:name="uniform-prior"/>
    <w:p>
      <w:pPr>
        <w:pStyle w:val="Heading2"/>
      </w:pPr>
      <w:r>
        <w:t xml:space="preserve">1.1 Uniform prior</w:t>
      </w:r>
    </w:p>
    <w:p>
      <w:pPr>
        <w:pStyle w:val="FirstParagraph"/>
      </w:pPr>
      <w:r>
        <w:t xml:space="preserve">Imagine our prior is</w:t>
      </w:r>
      <w:r>
        <w:t xml:space="preserve"> </w:t>
      </w:r>
      <m:oMath>
        <m:r>
          <m:t>θ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. What this means is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≤</m:t>
            </m:r>
            <m:r>
              <m:t>θ</m:t>
            </m:r>
            <m:r>
              <m:rPr>
                <m:sty m:val="p"/>
              </m:rPr>
              <m:t>≤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c</m:t>
            </m:r>
            <m:r>
              <m:rPr>
                <m:sty m:val="p"/>
              </m:rPr>
              <m:t>≤</m:t>
            </m:r>
            <m:r>
              <m:t>θ</m:t>
            </m:r>
            <m:r>
              <m:rPr>
                <m:sty m:val="p"/>
              </m:rPr>
              <m:t>≤</m:t>
            </m:r>
            <m:r>
              <m:t>b</m:t>
            </m:r>
            <m:r>
              <m:rPr>
                <m:sty m:val="p"/>
              </m:rPr>
              <m:t>+</m:t>
            </m:r>
            <m:r>
              <m:t>c</m:t>
            </m:r>
          </m:e>
        </m:d>
      </m:oMath>
      <w:r>
        <w:t xml:space="preserve"> </w:t>
      </w:r>
      <w:r>
        <w:t xml:space="preserve">for all compatible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c</m:t>
        </m:r>
      </m:oMath>
      <w:r>
        <w:t xml:space="preserve">. In other words, the probability of theta falling in an interval of a</w:t>
      </w:r>
      <w:r>
        <w:t xml:space="preserve"> </w:t>
      </w:r>
      <w:r>
        <w:t xml:space="preserve">given width is constant, regardless of where the interval is.</w:t>
      </w:r>
    </w:p>
    <w:p>
      <w:pPr>
        <w:pStyle w:val="BodyText"/>
      </w:pPr>
      <w:r>
        <w:t xml:space="preserve">Then, notice</w:t>
      </w:r>
    </w:p>
    <w:p>
      <w:pPr>
        <w:pStyle w:val="BodyText"/>
      </w:pPr>
    </w:p>
    <w:p>
      <w:pPr>
        <w:pStyle w:val="BodyText"/>
      </w:pPr>
      <w:r>
        <w:t xml:space="preserve">so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∣</m:t>
            </m:r>
            <m:r>
              <m:t>Y</m:t>
            </m:r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θ</m:t>
            </m:r>
          </m:e>
        </m:d>
      </m:oMath>
      <w:r>
        <w:t xml:space="preserve"> </w:t>
      </w:r>
      <w:r>
        <w:t xml:space="preserve">have the same shape (see MLE</w:t>
      </w:r>
      <w:r>
        <w:t xml:space="preserve"> </w:t>
      </w:r>
      <w:r>
        <w:t xml:space="preserve">discussion in Chapter 1).</w:t>
      </w:r>
    </w:p>
    <w:bookmarkEnd w:id="20"/>
    <w:bookmarkStart w:id="24" w:name="data-and-posterior-distribution"/>
    <w:p>
      <w:pPr>
        <w:pStyle w:val="Heading2"/>
      </w:pPr>
      <w:r>
        <w:t xml:space="preserve">1.2 Data and posterior distribution</w:t>
      </w:r>
    </w:p>
    <w:p>
      <w:pPr>
        <w:pStyle w:val="FirstParagraph"/>
      </w:pPr>
      <w:r>
        <w:t xml:space="preserve">Say the observed proportion is 118 happy out of 129 (91%). Our sampling model</w:t>
      </w:r>
      <w:r>
        <w:t xml:space="preserve"> </w:t>
      </w:r>
      <w:r>
        <w:t xml:space="preserve">for some fixed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is</w:t>
      </w:r>
    </w:p>
    <w:p>
      <w:pPr>
        <w:pStyle w:val="BodyText"/>
      </w:pPr>
    </w:p>
    <w:p>
      <w:pPr>
        <w:pStyle w:val="BodyText"/>
      </w:pPr>
      <w:r>
        <w:t xml:space="preserve">linking this back to Bayes’ rule above, we have the posterior probability</w:t>
      </w:r>
    </w:p>
    <w:p>
      <w:pPr>
        <w:pStyle w:val="BodyText"/>
      </w:pPr>
    </w:p>
    <w:p>
      <w:pPr>
        <w:pStyle w:val="BodyText"/>
      </w:pPr>
      <w:r>
        <w:t xml:space="preserve">We will often (WHEN would we not normalize?) want to be more precise than this and know about the scale</w:t>
      </w:r>
      <w:r>
        <w:t xml:space="preserve"> </w:t>
      </w:r>
      <w:r>
        <w:t xml:space="preserve">of the posterior probability, not just the shape. This requires calculating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129</m:t>
                </m:r>
              </m:sub>
            </m:sSub>
          </m:e>
        </m:d>
      </m:oMath>
      <w:r>
        <w:t xml:space="preserve">:</w:t>
      </w:r>
    </w:p>
    <w:p>
      <w:pPr>
        <w:pStyle w:val="BodyText"/>
      </w:pPr>
    </w:p>
    <w:p>
      <w:pPr>
        <w:pStyle w:val="BodyText"/>
      </w:pPr>
      <w:r>
        <w:t xml:space="preserve">so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Γ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119</m:t>
                </m:r>
              </m:e>
            </m:d>
            <m:r>
              <m:t>Γ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12</m:t>
                </m:r>
              </m:e>
            </m:d>
          </m:num>
          <m:den>
            <m:r>
              <m:t>Γ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131</m:t>
                </m:r>
              </m:e>
            </m:d>
          </m:den>
        </m:f>
        <m:r>
          <m:rPr>
            <m:sty m:val="p"/>
          </m:rPr>
          <m:t>≈</m:t>
        </m:r>
        <m:r>
          <m:t>2.89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18</m:t>
            </m:r>
          </m:sup>
        </m:sSup>
      </m:oMath>
      <w:r>
        <w:t xml:space="preserve">. Since our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are exchangeable, this holds true for any sequences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with 118 ones and 11 zeros.</w:t>
      </w:r>
    </w:p>
    <w:p>
      <w:pPr>
        <w:pStyle w:val="BodyText"/>
      </w:pPr>
      <w:r>
        <w:t xml:space="preserve">So, finally, the posterior probability is</w:t>
      </w:r>
    </w:p>
    <w:p>
      <w:pPr>
        <w:pStyle w:val="BodyText"/>
      </w:pPr>
    </w:p>
    <w:p>
      <w:pPr>
        <w:pStyle w:val="BodyText"/>
      </w:pPr>
      <w:r>
        <w:t xml:space="preserve">which happens to be a</w:t>
      </w:r>
      <w:r>
        <w:t xml:space="preserve"> </w:t>
      </w:r>
      <w:r>
        <w:rPr>
          <w:i/>
          <w:iCs/>
        </w:rPr>
        <w:t xml:space="preserve">beta distribution</w:t>
      </w:r>
      <w:r>
        <w:t xml:space="preserve"> </w:t>
      </w:r>
      <w:r>
        <w:t xml:space="preserve">with parameters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119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12</m:t>
        </m:r>
      </m:oMath>
      <w:r>
        <w:t xml:space="preserve">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nor/>
            <m:sty m:val="p"/>
          </m:rPr>
          <m:t>Beta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</m:e>
        </m:d>
      </m:oMath>
      <w:r>
        <w:t xml:space="preserve">, then</w:t>
      </w:r>
    </w:p>
    <w:p>
      <w:pPr>
        <w:pStyle w:val="Compact"/>
        <w:numPr>
          <w:ilvl w:val="0"/>
          <w:numId w:val="1001"/>
        </w:numPr>
      </w:pPr>
      <w:r>
        <w:t xml:space="preserve">PDF: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Γ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</m:e>
            </m:d>
          </m:num>
          <m:den>
            <m:r>
              <m:t>Γ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a</m:t>
                </m:r>
              </m:e>
            </m:d>
            <m:r>
              <m:t>Γ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b</m:t>
                </m:r>
              </m:e>
            </m:d>
          </m:den>
        </m:f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y</m:t>
                </m:r>
              </m:e>
            </m:d>
          </m:e>
          <m:sup>
            <m:r>
              <m:t>b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</w:p>
    <w:p>
      <w:pPr>
        <w:pStyle w:val="Compact"/>
        <w:numPr>
          <w:ilvl w:val="0"/>
          <w:numId w:val="1001"/>
        </w:numPr>
      </w:pPr>
      <m:oMath>
        <m:r>
          <m:rPr>
            <m:sty m:val="p"/>
            <m:scr m:val="double-struck"/>
          </m:rPr>
          <m:t>E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</m:num>
          <m:den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den>
        </m:f>
      </m:oMath>
    </w:p>
    <w:p>
      <w:pPr>
        <w:pStyle w:val="Compact"/>
        <w:numPr>
          <w:ilvl w:val="0"/>
          <w:numId w:val="1001"/>
        </w:numPr>
      </w:pPr>
      <m:oMath>
        <m:r>
          <m:rPr>
            <m:nor/>
            <m:sty m:val="p"/>
          </m:rPr>
          <m:t>Mode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  <m:r>
              <m:rPr>
                <m:sty m:val="p"/>
              </m:rPr>
              <m:t>−</m:t>
            </m:r>
            <m:r>
              <m:t>2</m:t>
            </m:r>
          </m:den>
        </m:f>
      </m:oMath>
    </w:p>
    <w:p>
      <w:pPr>
        <w:pStyle w:val="Compact"/>
        <w:numPr>
          <w:ilvl w:val="0"/>
          <w:numId w:val="1001"/>
        </w:numPr>
      </w:pPr>
      <m:oMath>
        <m:r>
          <m:rPr>
            <m:nor/>
            <m:sty m:val="p"/>
          </m:rPr>
          <m:t>Var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r>
              <m:t>b</m:t>
            </m:r>
          </m:num>
          <m:den>
            <m:s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r>
                      <m:t>b</m:t>
                    </m:r>
                  </m:e>
                </m:d>
              </m:e>
              <m:sup>
                <m:r>
                  <m:t>2</m:t>
                </m:r>
              </m:sup>
            </m:sSup>
            <m:d>
              <m:dPr>
                <m:begChr m:val="("/>
                <m:sepChr m:val=""/>
                <m:endChr m:val=")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den>
        </m:f>
      </m:oMath>
    </w:p>
    <w:p>
      <w:pPr>
        <w:pStyle w:val="FirstParagraph"/>
      </w:pPr>
      <w:r>
        <w:t xml:space="preserve">In our case, our posterior looks like:</w:t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3_files/figure-docx/unnamed-chunk-2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27" w:name="Xc3423871f32ec5bd6541aca72412a866712ac74"/>
    <w:p>
      <w:pPr>
        <w:pStyle w:val="Heading2"/>
      </w:pPr>
      <w:r>
        <w:t xml:space="preserve">1.3 Inference for exchangeable binary data (i.e. more generally)</w:t>
      </w:r>
    </w:p>
    <w:p>
      <w:pPr>
        <w:pStyle w:val="FirstParagraph"/>
      </w:pPr>
      <w:r>
        <w:t xml:space="preserve">Recall for our binary data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that</w:t>
      </w:r>
    </w:p>
    <w:p>
      <w:pPr>
        <w:pStyle w:val="BodyText"/>
      </w:pPr>
    </w:p>
    <w:p>
      <w:pPr>
        <w:pStyle w:val="BodyText"/>
      </w:pPr>
      <w:r>
        <w:t xml:space="preserve">Importantly, the quantity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 </w:t>
      </w:r>
      <w:r>
        <w:t xml:space="preserve">is the only statistic that is</w:t>
      </w:r>
      <w:r>
        <w:t xml:space="preserve"> </w:t>
      </w:r>
      <w:r>
        <w:t xml:space="preserve">needed to calculate posterior probabilities of</w:t>
      </w:r>
      <w:r>
        <w:t xml:space="preserve"> </w:t>
      </w:r>
      <m:oMath>
        <m:r>
          <m:t>θ</m:t>
        </m:r>
      </m:oMath>
      <w:r>
        <w:t xml:space="preserve">. So it is a</w:t>
      </w:r>
      <w:r>
        <w:t xml:space="preserve"> </w:t>
      </w:r>
      <w:r>
        <w:rPr>
          <w:i/>
          <w:iCs/>
        </w:rPr>
        <w:t xml:space="preserve">sufficient</w:t>
      </w:r>
      <w:r>
        <w:rPr>
          <w:i/>
          <w:iCs/>
        </w:rPr>
        <w:t xml:space="preserve"> </w:t>
      </w:r>
      <w:r>
        <w:rPr>
          <w:i/>
          <w:iCs/>
        </w:rPr>
        <w:t xml:space="preserve">statistic</w:t>
      </w:r>
      <w:r>
        <w:t xml:space="preserve"> </w:t>
      </w:r>
      <w:r>
        <w:t xml:space="preserve">for making inference about</w:t>
      </w:r>
      <w:r>
        <w:t xml:space="preserve"> </w:t>
      </w:r>
      <m:oMath>
        <m:r>
          <m:t>θ</m:t>
        </m:r>
      </m:oMath>
      <w:r>
        <w:t xml:space="preserve">. The statistic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∑</m:t>
        </m:r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has</w:t>
      </w:r>
      <w:r>
        <w:t xml:space="preserve"> </w:t>
      </w:r>
      <w:r>
        <w:t xml:space="preserve">a binomial distribution with parameters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r>
              <m:t>θ</m:t>
            </m:r>
          </m:e>
        </m:d>
      </m:oMath>
      <w:r>
        <w:t xml:space="preserve">. Then,</w:t>
      </w:r>
    </w:p>
    <w:p>
      <w:pPr>
        <w:pStyle w:val="BodyText"/>
      </w:pPr>
    </w:p>
    <w:p>
      <w:pPr>
        <w:pStyle w:val="BlockText"/>
      </w:pPr>
      <w:r>
        <w:t xml:space="preserve">Note: The general derivation of posterior probabilities for uniform</w:t>
      </w:r>
      <w:r>
        <w:t xml:space="preserve"> </w:t>
      </w:r>
      <w:r>
        <w:t xml:space="preserve">prior is skipped here, since a uniform prior is also a</w:t>
      </w:r>
      <w:r>
        <w:t xml:space="preserve"> </w:t>
      </w:r>
      <m:oMath>
        <m:r>
          <m:rPr>
            <m:nor/>
            <m:sty m:val="p"/>
          </m:rPr>
          <m:t>Beta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</m:e>
        </m:d>
      </m:oMath>
      <w:r>
        <w:t xml:space="preserve">.</w:t>
      </w:r>
    </w:p>
    <w:p>
      <w:pPr>
        <w:pStyle w:val="FirstParagraph"/>
      </w:pPr>
      <w:r>
        <w:t xml:space="preserve">Now let’s calculate the posterior probability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∣</m:t>
            </m:r>
            <m:r>
              <m:t>y</m:t>
            </m:r>
          </m:e>
        </m:d>
      </m:oMath>
      <w:r>
        <w:t xml:space="preserve"> </w:t>
      </w:r>
      <w:r>
        <w:t xml:space="preserve">when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</m:e>
        </m:d>
      </m:oMath>
      <w:r>
        <w:t xml:space="preserve"> </w:t>
      </w:r>
      <w:r>
        <w:t xml:space="preserve">is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uniform; in particular, when our prior on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is a</w:t>
      </w:r>
      <w:r>
        <w:t xml:space="preserve"> </w:t>
      </w:r>
      <w:r>
        <w:t xml:space="preserve">Beta distribution (</w:t>
      </w:r>
      <m:oMath>
        <m:r>
          <m:t>θ</m:t>
        </m:r>
        <m:r>
          <m:rPr>
            <m:sty m:val="p"/>
          </m:rPr>
          <m:t>∼</m:t>
        </m:r>
        <m:r>
          <m:rPr>
            <m:nor/>
            <m:sty m:val="p"/>
          </m:rPr>
          <m:t>Beta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</m:e>
        </m:d>
      </m:oMath>
      <w:r>
        <w:t xml:space="preserve">):</w:t>
      </w:r>
    </w:p>
    <w:p>
      <w:pPr>
        <w:pStyle w:val="BodyText"/>
      </w:pPr>
      <w:r>
        <w:t xml:space="preserve">\end{align}</w:t>
      </w:r>
    </w:p>
    <w:p>
      <w:pPr>
        <w:pStyle w:val="BodyText"/>
      </w:pPr>
      <w:r>
        <w:t xml:space="preserve">where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f</m:t>
        </m:r>
        <m:d>
          <m:dPr>
            <m:begChr m:val="("/>
            <m:sepChr m:val=""/>
            <m:endChr m:val=")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</m:e>
        </m:d>
      </m:oMath>
      <w:r>
        <w:t xml:space="preserve"> </w:t>
      </w:r>
      <w:r>
        <w:t xml:space="preserve">is just compressing the other stuff in the equation</w:t>
      </w:r>
      <w:r>
        <w:t xml:space="preserve"> </w:t>
      </w:r>
      <w:r>
        <w:t xml:space="preserve">into a constant, since it doesn’t depend on</w:t>
      </w:r>
      <w:r>
        <w:t xml:space="preserve"> </w:t>
      </w:r>
      <m:oMath>
        <m:r>
          <m:t>θ</m:t>
        </m:r>
      </m:oMath>
      <w:r>
        <w:t xml:space="preserve">.</w:t>
      </w:r>
      <w:r>
        <w:t xml:space="preserve"> </w:t>
      </w:r>
      <w:r>
        <w:t xml:space="preserve">Now, notice that the term with</w:t>
      </w:r>
      <w:r>
        <w:t xml:space="preserve"> </w:t>
      </w:r>
      <m:oMath>
        <m:r>
          <m:t>Γ</m:t>
        </m:r>
      </m:oMath>
      <w:r>
        <w:t xml:space="preserve">s in the above</w:t>
      </w:r>
      <w:r>
        <w:t xml:space="preserve"> </w:t>
      </w:r>
      <w:r>
        <w:t xml:space="preserve">equation is the PDF of</w:t>
      </w:r>
      <w:r>
        <w:t xml:space="preserve"> </w:t>
      </w:r>
      <m:oMath>
        <m:r>
          <m:t>θ</m:t>
        </m:r>
        <m:r>
          <m:rPr>
            <m:sty m:val="p"/>
          </m:rPr>
          <m:t>∼</m:t>
        </m:r>
        <m:r>
          <m:rPr>
            <m:nor/>
            <m:sty m:val="p"/>
          </m:rPr>
          <m:t>Beta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</m:e>
        </m:d>
      </m:oMath>
      <w:r>
        <w:t xml:space="preserve">, which can also be</w:t>
      </w:r>
      <w:r>
        <w:t xml:space="preserve"> </w:t>
      </w:r>
      <w:r>
        <w:t xml:space="preserve">expressed with a constant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f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</m:e>
        </m:d>
      </m:oMath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θ</m:t>
            </m:r>
          </m:e>
          <m:sup>
            <m:r>
              <m:t>a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θ</m:t>
                </m:r>
              </m:e>
            </m:d>
          </m:e>
          <m:sup>
            <m:r>
              <m:t>b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 Notice that this looks just like the equation above: thus,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∣</m:t>
            </m:r>
            <m:r>
              <m:t>y</m:t>
            </m:r>
          </m:e>
        </m:d>
      </m:oMath>
      <w:r>
        <w:t xml:space="preserve"> </w:t>
      </w:r>
      <w:r>
        <w:t xml:space="preserve">are both proportional to</w:t>
      </w:r>
      <w:r>
        <w:t xml:space="preserve"> </w:t>
      </w:r>
      <m:oMath>
        <m:sSup>
          <m:e>
            <m:r>
              <m:t>θ</m:t>
            </m:r>
          </m:e>
          <m:sup>
            <m:r>
              <m:t>a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θ</m:t>
                </m:r>
              </m:e>
            </m:d>
          </m:e>
          <m:sup>
            <m:r>
              <m:t>b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by some constant</w:t>
      </w:r>
      <w:r>
        <w:t xml:space="preserve"> </w:t>
      </w:r>
      <m:oMath>
        <m:r>
          <m:t>c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Now, since we know that as probability distributions,</w:t>
      </w:r>
      <w:r>
        <w:t xml:space="preserve"> </w:t>
      </w:r>
      <m:oMath>
        <m:r>
          <m:rPr>
            <m:sty m:val="p"/>
          </m:rPr>
          <m:t>∫</m:t>
        </m:r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</m:e>
        </m:d>
        <m:r>
          <m:rPr>
            <m:sty m:val="p"/>
          </m:rPr>
          <m:t>=</m:t>
        </m:r>
        <m:r>
          <m:rPr>
            <m:sty m:val="p"/>
          </m:rPr>
          <m:t>∫</m:t>
        </m:r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∣</m:t>
            </m:r>
            <m:r>
              <m:t>y</m:t>
            </m:r>
          </m:e>
        </m:d>
        <m:r>
          <m:t> </m:t>
        </m:r>
        <m:r>
          <m:t>d</m:t>
        </m:r>
        <m:r>
          <m:t>θ</m:t>
        </m:r>
        <m:r>
          <m:rPr>
            <m:sty m:val="p"/>
          </m:rPr>
          <m:t>=</m:t>
        </m:r>
        <m:r>
          <m:t>1</m:t>
        </m:r>
      </m:oMath>
      <w:r>
        <w:t xml:space="preserve">, we also know that the functions share the same</w:t>
      </w:r>
      <w:r>
        <w:t xml:space="preserve"> </w:t>
      </w:r>
      <w:r>
        <w:rPr>
          <w:i/>
          <w:iCs/>
        </w:rPr>
        <w:t xml:space="preserve">scale</w:t>
      </w:r>
      <w:r>
        <w:t xml:space="preserve">,</w:t>
      </w:r>
      <w:r>
        <w:t xml:space="preserve"> </w:t>
      </w:r>
      <w:r>
        <w:t xml:space="preserve">which means that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∣</m:t>
            </m:r>
            <m:r>
              <m:t>y</m:t>
            </m:r>
          </m:e>
        </m:d>
      </m:oMath>
      <w:r>
        <w:t xml:space="preserve"> </w:t>
      </w:r>
      <w:r>
        <w:t xml:space="preserve">is actually a Beta PDF!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("/>
              <m:sepChr m:val=""/>
              <m:endChr m:val=")"/>
              <m:grow/>
            </m:dPr>
            <m:e>
              <m:r>
                <m:t>θ</m:t>
              </m:r>
              <m:r>
                <m:rPr>
                  <m:sty m:val="p"/>
                </m:rPr>
                <m:t>∣</m:t>
              </m:r>
              <m:r>
                <m:t>y</m:t>
              </m:r>
            </m:e>
          </m:d>
          <m:r>
            <m:rPr>
              <m:sty m:val="p"/>
            </m:rPr>
            <m:t>∼</m:t>
          </m:r>
          <m:r>
            <m:rPr>
              <m:nor/>
              <m:sty m:val="p"/>
            </m:rPr>
            <m:t>Beta</m:t>
          </m:r>
          <m:d>
            <m:dPr>
              <m:begChr m:val="("/>
              <m:sepChr m:val=""/>
              <m:endChr m:val=")"/>
              <m:grow/>
            </m:dPr>
            <m:e>
              <m:r>
                <m:t>a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y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We therefore call Beta distributions</w:t>
      </w:r>
      <w:r>
        <w:t xml:space="preserve"> </w:t>
      </w:r>
      <w:r>
        <w:rPr>
          <w:b/>
          <w:bCs/>
        </w:rPr>
        <w:t xml:space="preserve">conjugate</w:t>
      </w:r>
      <w:r>
        <w:t xml:space="preserve"> </w:t>
      </w:r>
      <w:r>
        <w:t xml:space="preserve">priors for Binomial</w:t>
      </w:r>
      <w:r>
        <w:t xml:space="preserve"> </w:t>
      </w:r>
      <w:r>
        <w:t xml:space="preserve">distributions.</w:t>
      </w:r>
    </w:p>
    <w:bookmarkStart w:id="25" w:name="conjugacy"/>
    <w:p>
      <w:pPr>
        <w:pStyle w:val="Heading3"/>
      </w:pPr>
      <w:r>
        <w:t xml:space="preserve">1.3.1 Conjugacy</w:t>
      </w:r>
    </w:p>
    <w:p>
      <w:pPr>
        <w:pStyle w:val="BlockText"/>
      </w:pPr>
      <w:r>
        <w:rPr>
          <w:b/>
          <w:bCs/>
        </w:rPr>
        <w:t xml:space="preserve">Conjugacy</w:t>
      </w:r>
      <w:r>
        <w:t xml:space="preserve">. A class</w:t>
      </w:r>
      <w:r>
        <w:t xml:space="preserve"> </w:t>
      </w:r>
      <m:oMath>
        <m:r>
          <m:rPr>
            <m:sty m:val="p"/>
            <m:scr m:val="script"/>
          </m:rPr>
          <m:t>P</m:t>
        </m:r>
      </m:oMath>
      <w:r>
        <w:t xml:space="preserve"> </w:t>
      </w:r>
      <w:r>
        <w:t xml:space="preserve">of prior distributions for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i/>
          <w:iCs/>
        </w:rPr>
        <w:t xml:space="preserve">conjugate priors</w:t>
      </w:r>
      <w:r>
        <w:t xml:space="preserve"> </w:t>
      </w:r>
      <w:r>
        <w:t xml:space="preserve">of a sampling model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θ</m:t>
            </m:r>
          </m:e>
        </m:d>
      </m:oMath>
      <w:r>
        <w:t xml:space="preserve"> </w:t>
      </w:r>
      <w:r>
        <w:t xml:space="preserve">if</w:t>
      </w:r>
    </w:p>
    <w:p>
      <w:pPr>
        <w:pStyle w:val="Block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θ</m:t>
              </m:r>
            </m:e>
          </m:d>
          <m:r>
            <m:rPr>
              <m:sty m:val="p"/>
            </m:rPr>
            <m:t>∈</m:t>
          </m:r>
          <m:r>
            <m:rPr>
              <m:sty m:val="p"/>
              <m:scr m:val="script"/>
            </m:rPr>
            <m:t>P</m:t>
          </m:r>
          <m:r>
            <m:rPr>
              <m:sty m:val="p"/>
            </m:rPr>
            <m:t>⟹</m:t>
          </m:r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θ</m:t>
              </m:r>
              <m:r>
                <m:rPr>
                  <m:sty m:val="p"/>
                </m:rPr>
                <m:t>∣</m:t>
              </m:r>
              <m:r>
                <m:t>y</m:t>
              </m:r>
            </m:e>
          </m:d>
          <m:r>
            <m:rPr>
              <m:sty m:val="p"/>
            </m:rPr>
            <m:t>∈</m:t>
          </m:r>
          <m:r>
            <m:rPr>
              <m:sty m:val="p"/>
              <m:scr m:val="script"/>
            </m:rPr>
            <m:t>P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Conjugate priors are very convenient and making certain calculations easy, since</w:t>
      </w:r>
      <w:r>
        <w:t xml:space="preserve"> </w:t>
      </w:r>
      <w:r>
        <w:t xml:space="preserve">there is some convenient closed form solution for the distribution of a model</w:t>
      </w:r>
      <w:r>
        <w:t xml:space="preserve"> </w:t>
      </w:r>
      <w:r>
        <w:t xml:space="preserve">posterior given a model prior and observed data.</w:t>
      </w:r>
    </w:p>
    <w:p>
      <w:pPr>
        <w:pStyle w:val="BodyText"/>
      </w:pPr>
      <w:r>
        <w:t xml:space="preserve">Now, if you remember from Chatper 1, since the expectation of a Beta</w:t>
      </w:r>
      <w:r>
        <w:t xml:space="preserve"> </w:t>
      </w:r>
      <w:r>
        <w:t xml:space="preserve">distribution is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den>
        </m:f>
      </m:oMath>
      <w:r>
        <w:t xml:space="preserve">,</w:t>
      </w:r>
    </w:p>
    <w:p>
      <w:pPr>
        <w:pStyle w:val="BodyText"/>
      </w:pPr>
    </w:p>
    <w:p>
      <w:pPr>
        <w:pStyle w:val="BodyText"/>
      </w:pPr>
      <w:r>
        <w:t xml:space="preserve">Where</w:t>
      </w:r>
      <w:r>
        <w:t xml:space="preserve"> </w:t>
      </w:r>
      <m:oMath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</m:num>
          <m:den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den>
        </m:f>
      </m:oMath>
      <w:r>
        <w:t xml:space="preserve"> </w:t>
      </w:r>
      <w:r>
        <w:t xml:space="preserve">can be seen as our</w:t>
      </w:r>
      <w:r>
        <w:t xml:space="preserve"> </w:t>
      </w:r>
      <w:r>
        <w:t xml:space="preserve">“prior expectation”</w:t>
      </w:r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y</m:t>
            </m:r>
          </m:num>
          <m:den>
            <m:r>
              <m:t>n</m:t>
            </m:r>
          </m:den>
        </m:f>
      </m:oMath>
      <w:r>
        <w:t xml:space="preserve"> </w:t>
      </w:r>
      <w:r>
        <w:t xml:space="preserve">is the sample mean, and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can be seen as the strength of</w:t>
      </w:r>
      <w:r>
        <w:t xml:space="preserve"> </w:t>
      </w:r>
      <w:r>
        <w:t xml:space="preserve">belief in our prior. I leave the equation expressed above with the</w:t>
      </w:r>
      <w:r>
        <w:t xml:space="preserve"> </w:t>
      </w:r>
      <m:oMath>
        <m:r>
          <m:t>a</m:t>
        </m:r>
      </m:oMath>
      <w:r>
        <w:t xml:space="preserve">s and</w:t>
      </w:r>
      <w:r>
        <w:t xml:space="preserve"> </w:t>
      </w:r>
      <m:oMath>
        <m:r>
          <m:t>b</m:t>
        </m:r>
      </m:oMath>
      <w:r>
        <w:t xml:space="preserve">s</w:t>
      </w:r>
      <w:r>
        <w:t xml:space="preserve"> </w:t>
      </w:r>
      <w:r>
        <w:t xml:space="preserve">expanded because another intuitive way of thinking about the problem is by</w:t>
      </w:r>
      <w:r>
        <w:t xml:space="preserve"> </w:t>
      </w:r>
      <w:r>
        <w:t xml:space="preserve">thinking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as the</w:t>
      </w:r>
      <w:r>
        <w:t xml:space="preserve"> </w:t>
      </w:r>
      <w:r>
        <w:t xml:space="preserve">“prior number of 1s”</w:t>
      </w:r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as the</w:t>
      </w:r>
      <w:r>
        <w:t xml:space="preserve"> </w:t>
      </w:r>
      <w:r>
        <w:t xml:space="preserve">“prior number of 0s”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as the</w:t>
      </w:r>
      <w:r>
        <w:t xml:space="preserve"> </w:t>
      </w:r>
      <w:r>
        <w:t xml:space="preserve">“prior sample size”</w:t>
      </w:r>
      <w:r>
        <w:t xml:space="preserve">. If you play around with the equation</w:t>
      </w:r>
      <w:r>
        <w:t xml:space="preserve"> </w:t>
      </w:r>
      <w:r>
        <w:t xml:space="preserve">above, seeing how the values change with various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prior choices,</w:t>
      </w:r>
      <w:r>
        <w:t xml:space="preserve"> </w:t>
      </w:r>
      <w:r>
        <w:t xml:space="preserve">you’ll notice it has several nice properties that intuitively balance the</w:t>
      </w:r>
      <w:r>
        <w:t xml:space="preserve"> </w:t>
      </w:r>
      <w:r>
        <w:t xml:space="preserve">expectation and strength of our prior with the amount of data we receive.</w:t>
      </w:r>
    </w:p>
    <w:bookmarkEnd w:id="25"/>
    <w:bookmarkStart w:id="26" w:name="prediction"/>
    <w:p>
      <w:pPr>
        <w:pStyle w:val="Heading3"/>
      </w:pPr>
      <w:r>
        <w:t xml:space="preserve">1.3.2 Prediction</w:t>
      </w:r>
    </w:p>
    <w:p>
      <w:pPr>
        <w:pStyle w:val="FirstParagraph"/>
      </w:pPr>
      <w:r>
        <w:t xml:space="preserve">Assume we’ve already seen data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and we want to predict value of</w:t>
      </w:r>
      <w:r>
        <w:t xml:space="preserve"> </w:t>
      </w:r>
      <w:r>
        <w:t xml:space="preserve">the next observation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</m:oMath>
      <w:r>
        <w:t xml:space="preserve">.</w:t>
      </w:r>
    </w:p>
    <w:p>
      <w:pPr>
        <w:pStyle w:val="BodyText"/>
      </w:pPr>
      <w:r>
        <w:t xml:space="preserve">Intuitively we should predict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with probability equal to the expectation of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given our data (according</w:t>
      </w:r>
      <w:r>
        <w:t xml:space="preserve"> </w:t>
      </w:r>
      <w:r>
        <w:t xml:space="preserve">to the Bayesian framework). These calculations confirm this:</w:t>
      </w:r>
    </w:p>
    <w:p>
      <w:pPr>
        <w:pStyle w:val="BodyText"/>
      </w:pPr>
    </w:p>
    <w:p>
      <w:pPr>
        <w:pStyle w:val="BodyText"/>
      </w:pPr>
      <w:r>
        <w:t xml:space="preserve">Note that in this case the posterior predictive distribution is very easy to</w:t>
      </w:r>
      <w:r>
        <w:t xml:space="preserve"> </w:t>
      </w:r>
      <w:r>
        <w:t xml:space="preserve">predict and is (as it can only possibly be) a Bernoulli distribution with a</w:t>
      </w:r>
      <w:r>
        <w:t xml:space="preserve"> </w:t>
      </w:r>
      <w:r>
        <w:t xml:space="preserve">certain probability</w:t>
      </w:r>
      <w:r>
        <w:t xml:space="preserve"> </w:t>
      </w:r>
      <m:oMath>
        <m:r>
          <m:t>p</m:t>
        </m:r>
      </m:oMath>
      <w:r>
        <w:t xml:space="preserve">. When posterior distributions become more complicated,</w:t>
      </w:r>
      <w:r>
        <w:t xml:space="preserve"> </w:t>
      </w:r>
      <w:r>
        <w:t xml:space="preserve">however, (e.g. Poisson model), their posterior predictive distributions may</w:t>
      </w:r>
      <w:r>
        <w:t xml:space="preserve"> </w:t>
      </w:r>
      <w:r>
        <w:t xml:space="preserve">require more complex calculations and may result in a different family of</w:t>
      </w:r>
      <w:r>
        <w:t xml:space="preserve"> </w:t>
      </w:r>
      <w:r>
        <w:t xml:space="preserve">distributions. Still later, we will show how to simulate posterior predictive</w:t>
      </w:r>
      <w:r>
        <w:t xml:space="preserve"> </w:t>
      </w:r>
      <w:r>
        <w:t xml:space="preserve">distributions with Monte Carlo sampling.</w:t>
      </w:r>
    </w:p>
    <w:p>
      <w:pPr>
        <w:pStyle w:val="BodyText"/>
      </w:pPr>
      <w:r>
        <w:t xml:space="preserve">Also note that using the expectation instead of the mode is nice, for examples where</w:t>
      </w:r>
      <w:r>
        <w:t xml:space="preserve"> </w:t>
      </w:r>
      <w:r>
        <w:t xml:space="preserve">we have a uniform</w:t>
      </w:r>
      <w:r>
        <w:t xml:space="preserve"> </w:t>
      </w:r>
      <m:oMath>
        <m:r>
          <m:rPr>
            <m:nor/>
            <m:sty m:val="p"/>
          </m:rPr>
          <m:t>Beta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 </w:t>
      </w:r>
      <w:r>
        <w:t xml:space="preserve">prior and we observe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. Then,</w:t>
      </w:r>
    </w:p>
    <w:p>
      <w:pPr>
        <w:pStyle w:val="BodyText"/>
      </w:pPr>
    </w:p>
    <w:p>
      <w:pPr>
        <w:pStyle w:val="BodyText"/>
      </w:pPr>
      <w:r>
        <w:t xml:space="preserve">And clearly the expectation is more sensible as a predictor of future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</m:oMath>
      <w:r>
        <w:t xml:space="preserve">. But</w:t>
      </w:r>
      <w:r>
        <w:t xml:space="preserve"> </w:t>
      </w:r>
      <m:oMath>
        <m:sSub>
          <m:e>
            <m:r>
              <m:t>θ</m:t>
            </m:r>
          </m:e>
          <m:sub>
            <m:r>
              <m:t>M</m:t>
            </m:r>
            <m:r>
              <m:t>A</m:t>
            </m:r>
            <m:r>
              <m:t>P</m:t>
            </m:r>
          </m:sub>
        </m:sSub>
      </m:oMath>
      <w:r>
        <w:t xml:space="preserve"> </w:t>
      </w:r>
      <w:r>
        <w:t xml:space="preserve">is not as unreasonable when there is a non-uniform prior…</w:t>
      </w:r>
    </w:p>
    <w:bookmarkEnd w:id="26"/>
    <w:bookmarkEnd w:id="27"/>
    <w:bookmarkStart w:id="31" w:name="confidence-regions"/>
    <w:p>
      <w:pPr>
        <w:pStyle w:val="Heading2"/>
      </w:pPr>
      <w:r>
        <w:t xml:space="preserve">1.4 Confidence regions</w:t>
      </w:r>
    </w:p>
    <w:p>
      <w:pPr>
        <w:pStyle w:val="FirstParagraph"/>
      </w:pPr>
      <w:r>
        <w:t xml:space="preserve">See</w:t>
      </w:r>
      <w:r>
        <w:t xml:space="preserve"> </w:t>
      </w:r>
      <w:r>
        <w:t xml:space="preserve">Cross Validated (2010)</w:t>
      </w:r>
      <w:r>
        <w:t xml:space="preserve"> </w:t>
      </w:r>
      <w:r>
        <w:t xml:space="preserve">for a really interesting discussion about the difference between Bayesian and frequentist confidence intervals.</w:t>
      </w:r>
    </w:p>
    <w:p>
      <w:pPr>
        <w:pStyle w:val="BodyText"/>
      </w:pPr>
      <w:r>
        <w:t xml:space="preserve">Bayesian confidence interval is an interval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r>
              <m:t>l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y</m:t>
                </m:r>
              </m:e>
            </m:d>
            <m:r>
              <m:rPr>
                <m:sty m:val="p"/>
              </m:rPr>
              <m:t>,</m:t>
            </m:r>
            <m:r>
              <m:t>u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y</m:t>
                </m:r>
              </m:e>
            </m:d>
          </m:e>
        </m:d>
      </m:oMath>
      <w:r>
        <w:t xml:space="preserve"> </w:t>
      </w:r>
      <w:r>
        <w:t xml:space="preserve">with the following property:</w:t>
      </w:r>
    </w:p>
    <w:p>
      <w:pPr>
        <w:pStyle w:val="BodyText"/>
      </w:pPr>
    </w:p>
    <w:p>
      <w:pPr>
        <w:pStyle w:val="BodyText"/>
      </w:pPr>
      <w:r>
        <w:t xml:space="preserve">Intuitively, a Bayesian confidence interval quantifies our uncertainty about the</w:t>
      </w:r>
      <w:r>
        <w:t xml:space="preserve"> </w:t>
      </w:r>
      <w:r>
        <w:t xml:space="preserve">true value of the parameter we are estimating.</w:t>
      </w:r>
    </w:p>
    <w:p>
      <w:pPr>
        <w:pStyle w:val="BodyText"/>
      </w:pPr>
      <w:r>
        <w:t xml:space="preserve">Frequentist confidence interval is an interval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r>
              <m:t>l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Y</m:t>
                </m:r>
              </m:e>
            </m:d>
            <m:r>
              <m:rPr>
                <m:sty m:val="p"/>
              </m:rPr>
              <m:t>,</m:t>
            </m:r>
            <m:r>
              <m:t>u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Y</m:t>
                </m:r>
              </m:e>
            </m:d>
          </m:e>
        </m:d>
      </m:oMath>
      <w:r>
        <w:t xml:space="preserve"> </w:t>
      </w:r>
      <w:r>
        <w:t xml:space="preserve">with the following</w:t>
      </w:r>
      <w:r>
        <w:t xml:space="preserve"> </w:t>
      </w:r>
      <w:r>
        <w:t xml:space="preserve">property:</w:t>
      </w:r>
    </w:p>
    <w:p>
      <w:pPr>
        <w:pStyle w:val="BodyText"/>
      </w:pPr>
    </w:p>
    <w:p>
      <w:pPr>
        <w:pStyle w:val="BodyText"/>
      </w:pPr>
      <w:r>
        <w:t xml:space="preserve">Intuitively, a Frequentist confidence interval quantifies our uncertainty about</w:t>
      </w:r>
      <w:r>
        <w:t xml:space="preserve"> </w:t>
      </w:r>
      <w:r>
        <w:t xml:space="preserve">the measurement we have made of the parameter with a</w:t>
      </w:r>
      <w:r>
        <w:t xml:space="preserve"> </w:t>
      </w:r>
      <w:r>
        <w:rPr>
          <w:i/>
          <w:iCs/>
        </w:rPr>
        <w:t xml:space="preserve">fixed</w:t>
      </w:r>
      <w:r>
        <w:t xml:space="preserve"> </w:t>
      </w:r>
      <w:r>
        <w:t xml:space="preserve">true value.</w:t>
      </w:r>
    </w:p>
    <w:p>
      <w:pPr>
        <w:pStyle w:val="BodyText"/>
      </w:pPr>
      <w:r>
        <w:t xml:space="preserve">Which interval is better is of course debated heavily.</w:t>
      </w:r>
    </w:p>
    <w:p>
      <w:pPr>
        <w:pStyle w:val="BodyText"/>
      </w:pPr>
      <w:r>
        <w:t xml:space="preserve">To construct Bayesian confidence intervals, an easy way of doing so is to select</w:t>
      </w:r>
      <w:r>
        <w:t xml:space="preserve"> </w:t>
      </w:r>
      <w:r>
        <w:t xml:space="preserve">quantiles of the posterior probability distribution such that the area in the</w:t>
      </w:r>
      <w:r>
        <w:t xml:space="preserve"> </w:t>
      </w:r>
      <w:r>
        <w:t xml:space="preserve">interval under the curve is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α</m:t>
        </m:r>
      </m:oMath>
      <w:r>
        <w:t xml:space="preserve">, where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is the desired confidence level:</w:t>
      </w:r>
    </w:p>
    <w:p>
      <w:pPr>
        <w:pStyle w:val="SourceCode"/>
      </w:pPr>
      <w:r>
        <w:rPr>
          <w:rStyle w:val="CommentTok"/>
        </w:rPr>
        <w:t xml:space="preserve"># Uninformative prior, observe 10 variables with 2 1s</w:t>
      </w:r>
      <w:r>
        <w:br/>
      </w:r>
      <w:r>
        <w:rPr>
          <w:rStyle w:val="NormalTok"/>
        </w:rPr>
        <w:t xml:space="preserve">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rPr>
          <w:rStyle w:val="NormalTok"/>
        </w:rPr>
        <w:t xml:space="preserve">y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br/>
      </w:r>
      <w:r>
        <w:rPr>
          <w:rStyle w:val="NormalTok"/>
        </w:rPr>
        <w:t xml:space="preserve">quantiles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qbeta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), a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y, b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y))</w:t>
      </w:r>
      <w:r>
        <w:br/>
      </w:r>
      <w:r>
        <w:br/>
      </w:r>
      <w:r>
        <w:rPr>
          <w:rStyle w:val="NormalTok"/>
        </w:rPr>
        <w:t xml:space="preserve">df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theta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0.001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dbeta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0.001</w:t>
      </w:r>
      <w:r>
        <w:rPr>
          <w:rStyle w:val="NormalTok"/>
        </w:rPr>
        <w:t xml:space="preserve">), a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y, b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y)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(df,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theta,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p))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geom_vline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quantiles, </w:t>
      </w:r>
      <w:r>
        <w:rPr>
          <w:rStyle w:val="AttributeTok"/>
        </w:rPr>
        <w:t xml:space="preserve">mapping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xintercept =</w:t>
      </w:r>
      <w:r>
        <w:rPr>
          <w:rStyle w:val="NormalTok"/>
        </w:rPr>
        <w:t xml:space="preserve"> q))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3_files/figure-docx/unnamed-chunk-3-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However, since some of the values for theta</w:t>
      </w:r>
      <w:r>
        <w:t xml:space="preserve"> </w:t>
      </w:r>
      <w:r>
        <w:rPr>
          <w:i/>
          <w:iCs/>
        </w:rPr>
        <w:t xml:space="preserve">outside</w:t>
      </w:r>
      <w:r>
        <w:t xml:space="preserve"> </w:t>
      </w:r>
      <w:r>
        <w:t xml:space="preserve">of the interval have</w:t>
      </w:r>
      <w:r>
        <w:t xml:space="preserve"> </w:t>
      </w:r>
      <w:r>
        <w:t xml:space="preserve">higher density than values of theta</w:t>
      </w:r>
      <w:r>
        <w:t xml:space="preserve"> </w:t>
      </w:r>
      <w:r>
        <w:rPr>
          <w:i/>
          <w:iCs/>
        </w:rPr>
        <w:t xml:space="preserve">inside</w:t>
      </w:r>
      <w:r>
        <w:t xml:space="preserve"> </w:t>
      </w:r>
      <w:r>
        <w:t xml:space="preserve">the interval, another option</w:t>
      </w:r>
      <w:r>
        <w:t xml:space="preserve"> </w:t>
      </w:r>
      <w:r>
        <w:t xml:space="preserve">is to force</w:t>
      </w:r>
      <w:r>
        <w:t xml:space="preserve"> </w:t>
      </w:r>
      <w:r>
        <w:t xml:space="preserve">“symmetry”</w:t>
      </w:r>
      <w:r>
        <w:t xml:space="preserve"> </w:t>
      </w:r>
      <w:r>
        <w:t xml:space="preserve">of heights by searching for the</w:t>
      </w:r>
      <w:r>
        <w:t xml:space="preserve"> </w:t>
      </w:r>
      <w:r>
        <w:rPr>
          <w:b/>
          <w:bCs/>
        </w:rPr>
        <w:t xml:space="preserve">highest posterior</w:t>
      </w:r>
      <w:r>
        <w:rPr>
          <w:b/>
          <w:bCs/>
        </w:rPr>
        <w:t xml:space="preserve"> </w:t>
      </w:r>
      <w:r>
        <w:rPr>
          <w:b/>
          <w:bCs/>
        </w:rPr>
        <w:t xml:space="preserve">density</w:t>
      </w:r>
      <w:r>
        <w:t xml:space="preserve"> </w:t>
      </w:r>
      <w:r>
        <w:t xml:space="preserve">region, which can be intuitively found by drawing a horizontal line</w:t>
      </w:r>
      <w:r>
        <w:t xml:space="preserve"> </w:t>
      </w:r>
      <w:r>
        <w:t xml:space="preserve">down the density until the region contained by the line is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α</m:t>
        </m:r>
      </m:oMath>
      <w:r>
        <w:t xml:space="preserve">% of the</w:t>
      </w:r>
      <w:r>
        <w:t xml:space="preserve"> </w:t>
      </w:r>
      <w:r>
        <w:t xml:space="preserve">entire curve. The analytical calculation for these is not straightforward; computationally, using a discretized density, a</w:t>
      </w:r>
      <w:r>
        <w:t xml:space="preserve"> </w:t>
      </w:r>
      <w:r>
        <w:t xml:space="preserve">“trial and error”</w:t>
      </w:r>
      <w:r>
        <w:t xml:space="preserve"> </w:t>
      </w:r>
      <w:r>
        <w:t xml:space="preserve">approach or a neat procedure detailed in Exercise 4.7 (c) can be used.</w:t>
      </w:r>
    </w:p>
    <w:bookmarkEnd w:id="31"/>
    <w:bookmarkEnd w:id="32"/>
    <w:bookmarkStart w:id="40" w:name="the-poisson-model"/>
    <w:p>
      <w:pPr>
        <w:pStyle w:val="Heading1"/>
      </w:pPr>
      <w:r>
        <w:t xml:space="preserve">2. The Poisson model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is for measurements that have values that are whole numbers, rather than just 1 or 0 (example: number of children).</w:t>
      </w:r>
    </w:p>
    <w:p>
      <w:pPr>
        <w:pStyle w:val="BodyText"/>
      </w:pPr>
      <w:r>
        <w:t xml:space="preserve">Recall the PDF of a Poisson distribution - if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nor/>
            <m:sty m:val="p"/>
          </m:rPr>
          <m:t>Poisson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</m:e>
        </m:d>
      </m:oMath>
      <w:r>
        <w:t xml:space="preserve"> </w:t>
      </w:r>
      <w:r>
        <w:t xml:space="preserve">then</w:t>
      </w:r>
    </w:p>
    <w:p>
      <w:pPr>
        <w:pStyle w:val="Compact"/>
        <w:numPr>
          <w:ilvl w:val="0"/>
          <w:numId w:val="1002"/>
        </w:numPr>
      </w:pP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y</m:t>
            </m:r>
            <m:r>
              <m:rPr>
                <m:sty m:val="p"/>
              </m:rPr>
              <m:t>∣</m:t>
            </m:r>
            <m:r>
              <m:t>θ</m:t>
            </m:r>
          </m:e>
        </m:d>
        <m:r>
          <m:rPr>
            <m:sty m:val="p"/>
          </m:rPr>
          <m:t>=</m:t>
        </m:r>
        <m:sSup>
          <m:e>
            <m:r>
              <m:t>θ</m:t>
            </m:r>
          </m:e>
          <m:sup>
            <m:r>
              <m:t>y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θ</m:t>
            </m:r>
          </m:sup>
        </m:sSup>
        <m:r>
          <m:rPr>
            <m:sty m:val="p"/>
          </m:rPr>
          <m:t>/</m:t>
        </m:r>
        <m:r>
          <m:t>y</m:t>
        </m:r>
        <m:r>
          <m:rPr>
            <m:sty m:val="p"/>
          </m:rPr>
          <m:t>!</m:t>
        </m:r>
      </m:oMath>
    </w:p>
    <w:p>
      <w:pPr>
        <w:pStyle w:val="Compact"/>
        <w:numPr>
          <w:ilvl w:val="0"/>
          <w:numId w:val="1002"/>
        </w:numPr>
      </w:pPr>
      <m:oMath>
        <m:r>
          <m:rPr>
            <m:sty m:val="p"/>
            <m:scr m:val="double-struck"/>
          </m:rPr>
          <m:t>E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rPr>
            <m:nor/>
            <m:sty m:val="p"/>
          </m:rPr>
          <m:t>Var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θ</m:t>
        </m:r>
      </m:oMath>
    </w:p>
    <w:bookmarkStart w:id="35" w:name="posterior-inference"/>
    <w:p>
      <w:pPr>
        <w:pStyle w:val="Heading2"/>
      </w:pPr>
      <w:r>
        <w:t xml:space="preserve">2.1 Posterior inference</w:t>
      </w:r>
    </w:p>
    <w:p>
      <w:pPr>
        <w:pStyle w:val="FirstParagraph"/>
      </w:pPr>
      <w:r>
        <w:t xml:space="preserve">Just like how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∑</m:t>
        </m:r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a sufficient statistic for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independent</w:t>
      </w:r>
      <w:r>
        <w:t xml:space="preserve"> </w:t>
      </w:r>
      <w:r>
        <w:t xml:space="preserve">Bernoulli trials, there exists a sufficient statistic for a sample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i.i.d.</w:t>
      </w:r>
      <w:r>
        <w:t xml:space="preserve"> </w:t>
      </w:r>
      <w:r>
        <w:t xml:space="preserve">Poisson variables. Notice</w:t>
      </w:r>
    </w:p>
    <w:p>
      <w:pPr>
        <w:pStyle w:val="BodyText"/>
      </w:pPr>
    </w:p>
    <w:p>
      <w:pPr>
        <w:pStyle w:val="BodyText"/>
      </w:pPr>
      <w:r>
        <w:t xml:space="preserve">When we compare two values of</w:t>
      </w:r>
      <w:r>
        <w:t xml:space="preserve"> </w:t>
      </w:r>
      <m:oMath>
        <m:r>
          <m:t>θ</m:t>
        </m:r>
      </m:oMath>
      <w:r>
        <w:t xml:space="preserve">,</w:t>
      </w:r>
    </w:p>
    <w:p>
      <w:pPr>
        <w:pStyle w:val="BodyText"/>
      </w:pPr>
    </w:p>
    <w:p>
      <w:pPr>
        <w:pStyle w:val="BodyText"/>
      </w:pPr>
      <w:r>
        <w:t xml:space="preserve">notice that the</w:t>
      </w:r>
      <w:r>
        <w:t xml:space="preserve"> </w:t>
      </w:r>
      <m:oMath>
        <m:nary>
          <m:naryPr>
            <m:chr m:val="∏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r>
              <m:t>1</m:t>
            </m:r>
          </m:e>
        </m:nary>
        <m:r>
          <m:rPr>
            <m:sty m:val="p"/>
          </m:rPr>
          <m:t>/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!</m:t>
        </m:r>
      </m:oMath>
      <w:r>
        <w:t xml:space="preserve"> </w:t>
      </w:r>
      <w:r>
        <w:t xml:space="preserve">term is the same in that ratio, and thus</w:t>
      </w:r>
      <w:r>
        <w:t xml:space="preserve"> </w:t>
      </w:r>
      <w:r>
        <w:t xml:space="preserve">cancels out. Then the</w:t>
      </w:r>
      <w:r>
        <w:t xml:space="preserve"> </w:t>
      </w:r>
      <m:oMath>
        <m:sSubSup>
          <m:e>
            <m:r>
              <m:t>θ</m:t>
            </m:r>
          </m:e>
          <m:sub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</m:sub>
          <m:sup>
            <m:nary>
              <m:naryPr>
                <m:chr m:val="∑"/>
                <m:limLoc m:val="undOvr"/>
                <m:subHide m:val="off"/>
                <m:supHide m:val="on"/>
              </m:naryPr>
              <m:sub>
                <m:r>
                  <m:t>i</m:t>
                </m:r>
              </m:sub>
              <m:sup>
                <m:r>
                  <m:t>​</m:t>
                </m:r>
              </m:sup>
              <m:e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</m:e>
            </m:nary>
          </m:sup>
        </m:sSubSup>
      </m:oMath>
      <w:r>
        <w:t xml:space="preserve"> </w:t>
      </w:r>
      <w:r>
        <w:t xml:space="preserve">terms are the only terms remaining in the</w:t>
      </w:r>
      <w:r>
        <w:t xml:space="preserve"> </w:t>
      </w:r>
      <w:r>
        <w:t xml:space="preserve">fraction, and thus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 </w:t>
      </w:r>
      <w:r>
        <w:t xml:space="preserve">is a sufficient statistic. This sufficient</w:t>
      </w:r>
      <w:r>
        <w:t xml:space="preserve"> </w:t>
      </w:r>
      <w:r>
        <w:t xml:space="preserve">statistic is a little more interesting than the Bernoulli case - consider that</w:t>
      </w:r>
      <w:r>
        <w:t xml:space="preserve"> </w:t>
      </w:r>
      <w:r>
        <w:t xml:space="preserve">it doesn’t matter what the individual values of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are (if one is very large,</w:t>
      </w:r>
      <w:r>
        <w:t xml:space="preserve"> </w:t>
      </w:r>
      <w:r>
        <w:t xml:space="preserve">one is very small, or they all look the same) - inference on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possible with just the aggregate sum.</w:t>
      </w:r>
    </w:p>
    <w:bookmarkStart w:id="33" w:name="conjugate-prior"/>
    <w:p>
      <w:pPr>
        <w:pStyle w:val="Heading3"/>
      </w:pPr>
      <w:r>
        <w:t xml:space="preserve">2.1.1 Conjugate prior</w:t>
      </w:r>
    </w:p>
    <w:p>
      <w:pPr>
        <w:pStyle w:val="FirstParagraph"/>
      </w:pPr>
      <w:r>
        <w:t xml:space="preserve">Using Bayes’ rule and the sampling model above, we have</w:t>
      </w:r>
    </w:p>
    <w:p>
      <w:pPr>
        <w:pStyle w:val="BodyText"/>
      </w:pPr>
    </w:p>
    <w:p>
      <w:pPr>
        <w:pStyle w:val="BodyText"/>
      </w:pPr>
      <w:r>
        <w:t xml:space="preserve">We are looking for some distribution of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</m:e>
        </m:d>
      </m:oMath>
      <w:r>
        <w:t xml:space="preserve"> </w:t>
      </w:r>
      <w:r>
        <w:t xml:space="preserve">that makes the posterior as</w:t>
      </w:r>
      <w:r>
        <w:t xml:space="preserve"> </w:t>
      </w:r>
      <w:r>
        <w:t xml:space="preserve">calculated using the above the same distribution as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</m:e>
        </m:d>
      </m:oMath>
      <w:r>
        <w:t xml:space="preserve"> </w:t>
      </w:r>
      <w:r>
        <w:t xml:space="preserve">itself. That</w:t>
      </w:r>
      <w:r>
        <w:t xml:space="preserve"> </w:t>
      </w:r>
      <w:r>
        <w:t xml:space="preserve">family of distributions is the Gamma family. If</w:t>
      </w:r>
      <w:r>
        <w:t xml:space="preserve"> </w:t>
      </w:r>
      <m:oMath>
        <m:r>
          <m:t>θ</m:t>
        </m:r>
        <m:r>
          <m:rPr>
            <m:sty m:val="p"/>
          </m:rPr>
          <m:t>∼</m:t>
        </m:r>
        <m:r>
          <m:rPr>
            <m:nor/>
            <m:sty m:val="p"/>
          </m:rPr>
          <m:t>Gamma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</m:e>
        </m:d>
      </m:oMath>
      <w:r>
        <w:t xml:space="preserve">, then</w:t>
      </w:r>
    </w:p>
    <w:p>
      <w:pPr>
        <w:pStyle w:val="Compact"/>
        <w:numPr>
          <w:ilvl w:val="0"/>
          <w:numId w:val="1003"/>
        </w:numPr>
      </w:pP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b</m:t>
                </m:r>
              </m:e>
              <m:sup>
                <m:r>
                  <m:t>a</m:t>
                </m:r>
              </m:sup>
            </m:sSup>
          </m:num>
          <m:den>
            <m:r>
              <m:t>Γ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a</m:t>
                </m:r>
              </m:e>
            </m:d>
          </m:den>
        </m:f>
        <m:sSup>
          <m:e>
            <m:r>
              <m:t>θ</m:t>
            </m:r>
          </m:e>
          <m:sup>
            <m:r>
              <m:t>a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b</m:t>
            </m:r>
            <m:r>
              <m:t>θ</m:t>
            </m:r>
          </m:sup>
        </m:sSup>
      </m:oMath>
    </w:p>
    <w:p>
      <w:pPr>
        <w:pStyle w:val="Compact"/>
        <w:numPr>
          <w:ilvl w:val="0"/>
          <w:numId w:val="1003"/>
        </w:numPr>
      </w:pPr>
      <m:oMath>
        <m:r>
          <m:rPr>
            <m:sty m:val="p"/>
            <m:scr m:val="double-struck"/>
          </m:rPr>
          <m:t>E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</m:e>
        </m:d>
        <m:r>
          <m:rPr>
            <m:sty m:val="p"/>
          </m:rPr>
          <m:t>=</m:t>
        </m:r>
        <m:r>
          <m:t>a</m:t>
        </m:r>
        <m:r>
          <m:rPr>
            <m:sty m:val="p"/>
          </m:rPr>
          <m:t>/</m:t>
        </m:r>
        <m:r>
          <m:t>b</m:t>
        </m:r>
      </m:oMath>
    </w:p>
    <w:p>
      <w:pPr>
        <w:pStyle w:val="Compact"/>
        <w:numPr>
          <w:ilvl w:val="0"/>
          <w:numId w:val="1003"/>
        </w:numPr>
      </w:pPr>
      <m:oMath>
        <m:r>
          <m:rPr>
            <m:nor/>
            <m:sty m:val="p"/>
          </m:rPr>
          <m:t>Var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</m:e>
        </m:d>
        <m:r>
          <m:rPr>
            <m:sty m:val="p"/>
          </m:rPr>
          <m:t>=</m:t>
        </m:r>
        <m:r>
          <m:t>a</m:t>
        </m:r>
        <m:r>
          <m:rPr>
            <m:sty m:val="p"/>
          </m:rPr>
          <m:t>/</m:t>
        </m:r>
        <m:sSup>
          <m:e>
            <m:r>
              <m:t>b</m:t>
            </m:r>
          </m:e>
          <m:sup>
            <m:r>
              <m:t>2</m:t>
            </m:r>
          </m:sup>
        </m:sSup>
      </m:oMath>
    </w:p>
    <w:p>
      <w:pPr>
        <w:pStyle w:val="FirstParagraph"/>
      </w:pPr>
      <w:r>
        <w:t xml:space="preserve">To prove conjugacy, we have</w:t>
      </w:r>
    </w:p>
    <w:p>
      <w:pPr>
        <w:pStyle w:val="BodyText"/>
      </w:pPr>
    </w:p>
    <w:p>
      <w:pPr>
        <w:pStyle w:val="BodyText"/>
      </w:pPr>
      <w:r>
        <w:t xml:space="preserve">Where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f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</m:e>
        </m:d>
      </m:oMath>
      <w:r>
        <w:t xml:space="preserve"> </w:t>
      </w:r>
      <w:r>
        <w:t xml:space="preserve">is throwing all of the stuff that doesn’t depend on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into some normalizing constant such that</w:t>
      </w:r>
      <w:r>
        <w:t xml:space="preserve"> </w:t>
      </w:r>
      <m:oMath>
        <m:r>
          <m:rPr>
            <m:sty m:val="p"/>
          </m:rPr>
          <m:t>∫</m:t>
        </m:r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∣</m:t>
            </m:r>
            <m:r>
              <m:t>y</m:t>
            </m:r>
          </m:e>
        </m:d>
        <m:r>
          <m:t> </m:t>
        </m:r>
        <m:r>
          <m:t>d</m:t>
        </m:r>
        <m:r>
          <m:t>θ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Like the Binomial model, we recognize from the proportionality to</w:t>
      </w:r>
      <w:r>
        <w:t xml:space="preserve"> </w:t>
      </w:r>
      <m:oMath>
        <m:sSup>
          <m:e>
            <m:r>
              <m:t>θ</m:t>
            </m:r>
          </m:e>
          <m:sup>
            <m:r>
              <m:t>a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b</m:t>
            </m:r>
            <m:r>
              <m:t>θ</m:t>
            </m:r>
          </m:sup>
        </m:sSup>
      </m:oMath>
      <w:r>
        <w:t xml:space="preserve"> </w:t>
      </w:r>
      <w:r>
        <w:t xml:space="preserve">that the posterior distribution of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is Gamma distributed. Specifically</w:t>
      </w:r>
    </w:p>
    <w:p>
      <w:pPr>
        <w:pStyle w:val="BodyText"/>
      </w:pPr>
    </w:p>
    <w:p>
      <w:pPr>
        <w:pStyle w:val="BodyText"/>
      </w:pPr>
      <w:r>
        <w:t xml:space="preserve">and the expectation is</w:t>
      </w:r>
    </w:p>
    <w:p>
      <w:pPr>
        <w:pStyle w:val="BodyText"/>
      </w:pPr>
    </w:p>
    <w:bookmarkEnd w:id="33"/>
    <w:bookmarkStart w:id="34" w:name="posterior-predictive-distribution"/>
    <w:p>
      <w:pPr>
        <w:pStyle w:val="Heading3"/>
      </w:pPr>
      <w:r>
        <w:t xml:space="preserve">2.1.2 Posterior predictive distribution</w:t>
      </w:r>
    </w:p>
    <w:p>
      <w:pPr>
        <w:pStyle w:val="FirstParagraph"/>
      </w:pPr>
    </w:p>
    <w:p>
      <w:pPr>
        <w:pStyle w:val="BodyText"/>
      </w:pPr>
      <w:r>
        <w:t xml:space="preserve">Notice that the integrand is proportional to a Gamma density:</w:t>
      </w:r>
    </w:p>
    <w:p>
      <w:pPr>
        <w:pStyle w:val="BodyText"/>
      </w:pPr>
    </w:p>
    <w:p>
      <w:pPr>
        <w:pStyle w:val="BodyText"/>
      </w:pPr>
      <w:r>
        <w:t xml:space="preserve">So</w:t>
      </w:r>
    </w:p>
    <w:p>
      <w:pPr>
        <w:pStyle w:val="BodyText"/>
      </w:pPr>
    </w:p>
    <w:p>
      <w:pPr>
        <w:pStyle w:val="BodyText"/>
      </w:pPr>
      <w:r>
        <w:t xml:space="preserve">The negative binomial distribution here, whose parameters look just like the</w:t>
      </w:r>
      <w:r>
        <w:t xml:space="preserve"> </w:t>
      </w:r>
      <w:r>
        <w:t xml:space="preserve">Gamma posterior on theta, can be thought of as a predictive Poisson distribution</w:t>
      </w:r>
      <w:r>
        <w:t xml:space="preserve"> </w:t>
      </w:r>
      <w:r>
        <w:t xml:space="preserve">with increased variance owing to the increased uncertainty on the value of</w:t>
      </w:r>
      <w:r>
        <w:t xml:space="preserve"> </w:t>
      </w:r>
      <m:oMath>
        <m:r>
          <m:t>θ</m:t>
        </m:r>
      </m:oMath>
      <w:r>
        <w:t xml:space="preserve">. Notice</w:t>
      </w:r>
    </w:p>
    <w:p>
      <w:pPr>
        <w:pStyle w:val="BodyText"/>
      </w:pPr>
    </w:p>
    <w:p>
      <w:pPr>
        <w:pStyle w:val="BodyText"/>
      </w:pPr>
      <w:r>
        <w:t xml:space="preserve">So 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grows large, the variance on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</m:oMath>
      <w:r>
        <w:t xml:space="preserve"> </w:t>
      </w:r>
      <w:r>
        <w:t xml:space="preserve">approaches the variance of its expectation</w:t>
      </w:r>
      <w:r>
        <w:t xml:space="preserve"> </w:t>
      </w:r>
      <m:oMath>
        <m:r>
          <m:rPr>
            <m:sty m:val="p"/>
            <m:scr m:val="double-struck"/>
          </m:rPr>
          <m:t>E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̃"/>
              </m:accPr>
              <m:e>
                <m:r>
                  <m:t>Y</m:t>
                </m:r>
              </m:e>
            </m:acc>
          </m:e>
        </m:d>
      </m:oMath>
      <w:r>
        <w:t xml:space="preserve">.</w:t>
      </w:r>
    </w:p>
    <w:bookmarkEnd w:id="34"/>
    <w:bookmarkEnd w:id="35"/>
    <w:bookmarkStart w:id="39" w:name="example-birth-rates"/>
    <w:p>
      <w:pPr>
        <w:pStyle w:val="Heading2"/>
      </w:pPr>
      <w:r>
        <w:t xml:space="preserve">2.2 Example: Birth Rates</w:t>
      </w:r>
    </w:p>
    <w:p>
      <w:pPr>
        <w:pStyle w:val="FirstParagraph"/>
      </w:pPr>
      <w:r>
        <w:t xml:space="preserve">In the 1990s, did women with college degrees have different numbers of children</w:t>
      </w:r>
      <w:r>
        <w:t xml:space="preserve"> </w:t>
      </w:r>
      <w:r>
        <w:t xml:space="preserve">than women without college degrees? We sample</w:t>
      </w:r>
      <w:r>
        <w:t xml:space="preserve"> </w:t>
      </w:r>
      <m:oMath>
        <m:sSub>
          <m:e>
            <m:r>
              <m:t>n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women without college</w:t>
      </w:r>
      <w:r>
        <w:t xml:space="preserve"> </w:t>
      </w:r>
      <w:r>
        <w:t xml:space="preserve">degrees, denoted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sSub>
              <m:e>
                <m:r>
                  <m:t>n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t>1</m:t>
            </m:r>
          </m:sub>
        </m:sSub>
      </m:oMath>
      <w:r>
        <w:t xml:space="preserve">, and</w:t>
      </w:r>
      <w:r>
        <w:t xml:space="preserve"> </w:t>
      </w:r>
      <m:oMath>
        <m:sSub>
          <m:e>
            <m:r>
              <m:t>n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women with college</w:t>
      </w:r>
      <w:r>
        <w:t xml:space="preserve"> </w:t>
      </w:r>
      <w:r>
        <w:t xml:space="preserve">degrees,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sSub>
              <m:e>
                <m:r>
                  <m:t>n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,</m:t>
            </m:r>
            <m:r>
              <m:t>2</m:t>
            </m:r>
          </m:sub>
        </m:sSub>
      </m:oMath>
      <w:r>
        <w:t xml:space="preserve">. For some parameter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we can model</w:t>
      </w:r>
      <w:r>
        <w:t xml:space="preserve"> </w:t>
      </w:r>
      <w:r>
        <w:t xml:space="preserve">the number of children for each woman as being i.i.d</w:t>
      </w:r>
      <w:r>
        <w:t xml:space="preserve"> </w:t>
      </w:r>
      <m:oMath>
        <m:r>
          <m:rPr>
            <m:nor/>
            <m:sty m:val="p"/>
          </m:rPr>
          <m:t>Poisson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θ</m:t>
                </m:r>
              </m:e>
              <m:sub>
                <m:r>
                  <m:t>1</m:t>
                </m:r>
              </m:sub>
            </m:sSub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nor/>
            <m:sty m:val="p"/>
          </m:rPr>
          <m:t>Poisson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θ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, respectively. We may be interested in conducting</w:t>
      </w:r>
      <w:r>
        <w:t xml:space="preserve"> </w:t>
      </w:r>
      <w:r>
        <w:t xml:space="preserve">hypothesis tests to see whether or not these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are different.</w:t>
      </w:r>
    </w:p>
    <w:p>
      <w:pPr>
        <w:pStyle w:val="BodyText"/>
      </w:pPr>
      <w:r>
        <w:t xml:space="preserve">Recall that, in this two samples, the</w:t>
      </w:r>
      <w:r>
        <w:t xml:space="preserve"> </w:t>
      </w:r>
      <w:r>
        <w:rPr>
          <w:i/>
          <w:iCs/>
        </w:rPr>
        <w:t xml:space="preserve">sufficient</w:t>
      </w:r>
      <w:r>
        <w:t xml:space="preserve"> </w:t>
      </w:r>
      <w:r>
        <w:t xml:space="preserve">statistic is simply the sum</w:t>
      </w:r>
      <w:r>
        <w:t xml:space="preserve"> </w:t>
      </w:r>
      <w:r>
        <w:t xml:space="preserve">of all of the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. Say we observe</w:t>
      </w:r>
    </w:p>
    <w:p>
      <w:pPr>
        <w:pStyle w:val="Compact"/>
        <w:numPr>
          <w:ilvl w:val="0"/>
          <w:numId w:val="1004"/>
        </w:numPr>
      </w:pPr>
      <w:r>
        <w:t xml:space="preserve">No college:</w:t>
      </w:r>
      <w:r>
        <w:t xml:space="preserve"> </w:t>
      </w:r>
      <m:oMath>
        <m:sSub>
          <m:e>
            <m:r>
              <m:t>n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111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∑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217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∑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/</m:t>
        </m:r>
        <m:sSub>
          <m:e>
            <m:r>
              <m:t>n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1.95</m:t>
        </m:r>
      </m:oMath>
      <w:r>
        <w:t xml:space="preserve"> </w:t>
      </w:r>
      <w:r>
        <w:t xml:space="preserve">(this is just useful for intuition)</w:t>
      </w:r>
    </w:p>
    <w:p>
      <w:pPr>
        <w:pStyle w:val="Compact"/>
        <w:numPr>
          <w:ilvl w:val="0"/>
          <w:numId w:val="1004"/>
        </w:numPr>
      </w:pPr>
      <w:r>
        <w:t xml:space="preserve">College:</w:t>
      </w:r>
      <w:r>
        <w:t xml:space="preserve"> </w:t>
      </w:r>
      <m:oMath>
        <m:sSub>
          <m:e>
            <m:r>
              <m:t>n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44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∑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66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∑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/</m:t>
        </m:r>
        <m:sSub>
          <m:e>
            <m:r>
              <m:t>n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1.50</m:t>
        </m:r>
      </m:oMath>
    </w:p>
    <w:p>
      <w:pPr>
        <w:pStyle w:val="FirstParagraph"/>
      </w:pPr>
      <w:r>
        <w:t xml:space="preserve">Say our prior on both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nor/>
            <m:sty m:val="p"/>
          </m:rPr>
          <m:t>Gamma(a = 2, 1)</m:t>
        </m:r>
      </m:oMath>
      <w:r>
        <w:t xml:space="preserve">, which is lightly</w:t>
      </w:r>
      <w:r>
        <w:t xml:space="preserve"> </w:t>
      </w:r>
      <w:r>
        <w:t xml:space="preserve">centered on ~1. You can toy around with choices of different priors by changing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below:</w:t>
      </w:r>
    </w:p>
    <w:p>
      <w:pPr>
        <w:pStyle w:val="SourceCode"/>
      </w:pPr>
      <w:r>
        <w:rPr>
          <w:rStyle w:val="NormalTok"/>
        </w:rPr>
        <w:t xml:space="preserve">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n1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111</w:t>
      </w:r>
      <w:r>
        <w:br/>
      </w:r>
      <w:r>
        <w:rPr>
          <w:rStyle w:val="NormalTok"/>
        </w:rPr>
        <w:t xml:space="preserve">sy1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217</w:t>
      </w:r>
      <w:r>
        <w:br/>
      </w:r>
      <w:r>
        <w:rPr>
          <w:rStyle w:val="NormalTok"/>
        </w:rPr>
        <w:t xml:space="preserve">n2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br/>
      </w:r>
      <w:r>
        <w:rPr>
          <w:rStyle w:val="NormalTok"/>
        </w:rPr>
        <w:t xml:space="preserve">sy2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br/>
      </w:r>
      <w:r>
        <w:rPr>
          <w:rStyle w:val="NormalTok"/>
        </w:rPr>
        <w:t xml:space="preserve">df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theta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prior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dgamma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0.01</w:t>
      </w:r>
      <w:r>
        <w:rPr>
          <w:rStyle w:val="NormalTok"/>
        </w:rPr>
        <w:t xml:space="preserve">), a, b),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pos.theta1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dgamma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0.01</w:t>
      </w:r>
      <w:r>
        <w:rPr>
          <w:rStyle w:val="NormalTok"/>
        </w:rPr>
        <w:t xml:space="preserve">), a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sy1, b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n1),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pos.theta2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dgamma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0.01</w:t>
      </w:r>
      <w:r>
        <w:rPr>
          <w:rStyle w:val="NormalTok"/>
        </w:rPr>
        <w:t xml:space="preserve">), a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sy2, b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n2)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df.long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df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pivot_longer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cols 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theta, </w:t>
      </w:r>
      <w:r>
        <w:rPr>
          <w:rStyle w:val="AttributeTok"/>
        </w:rPr>
        <w:t xml:space="preserve">names_to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'dist'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values_to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(df.long,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theta,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value, </w:t>
      </w:r>
      <w:r>
        <w:rPr>
          <w:rStyle w:val="AttributeTok"/>
        </w:rPr>
        <w:t xml:space="preserve">group =</w:t>
      </w:r>
      <w:r>
        <w:rPr>
          <w:rStyle w:val="NormalTok"/>
        </w:rPr>
        <w:t xml:space="preserve"> dist,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dist))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'probability'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3_files/figure-docx/unnamed-chunk-4-1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Notice that we can calculate the probability that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  <m:r>
          <m:rPr>
            <m:sty m:val="p"/>
          </m:rPr>
          <m:t>&gt;</m:t>
        </m:r>
        <m:sSub>
          <m:e>
            <m:r>
              <m:t>θ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by</w:t>
      </w:r>
      <w:r>
        <w:t xml:space="preserve"> </w:t>
      </w:r>
      <w:r>
        <w:t xml:space="preserve">integrating over the joint density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θ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θ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 </w:t>
      </w:r>
      <w:r>
        <w:t xml:space="preserve">over the region where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  <m:r>
          <m:rPr>
            <m:sty m:val="p"/>
          </m:rPr>
          <m:t>&gt;</m:t>
        </m:r>
        <m:sSub>
          <m:e>
            <m:r>
              <m:t>θ</m:t>
            </m:r>
          </m:e>
          <m:sub>
            <m:r>
              <m:t>2</m:t>
            </m:r>
          </m:sub>
        </m:sSub>
      </m:oMath>
      <w:r>
        <w:t xml:space="preserve">. This is calculated at the beginning of Chapter 4, and it</w:t>
      </w:r>
      <w:r>
        <w:t xml:space="preserve"> </w:t>
      </w:r>
      <w:r>
        <w:t xml:space="preserve">is about 0.97.</w:t>
      </w:r>
    </w:p>
    <w:bookmarkEnd w:id="39"/>
    <w:bookmarkEnd w:id="40"/>
    <w:bookmarkStart w:id="47" w:name="X6b19df25de278b4d35c148156d39defc56b4290"/>
    <w:p>
      <w:pPr>
        <w:pStyle w:val="Heading1"/>
      </w:pPr>
      <w:r>
        <w:t xml:space="preserve">3. Exponential families and conjugate priors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Binomial and Poisson models are</w:t>
      </w:r>
      <w:r>
        <w:t xml:space="preserve"> </w:t>
      </w:r>
      <w:r>
        <w:rPr>
          <w:i/>
          <w:iCs/>
        </w:rPr>
        <w:t xml:space="preserve">exponential family models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Exponential family model</w:t>
      </w:r>
      <w:r>
        <w:t xml:space="preserve">: a model whose densities can be expressed as</w:t>
      </w:r>
    </w:p>
    <w:p>
      <w:pPr>
        <w:pStyle w:val="Block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ϕ</m:t>
              </m:r>
            </m:e>
          </m:d>
          <m:r>
            <m:rPr>
              <m:sty m:val="p"/>
            </m:rPr>
            <m:t>=</m:t>
          </m:r>
          <m:r>
            <m:t>h</m:t>
          </m:r>
          <m:d>
            <m:dPr>
              <m:begChr m:val="("/>
              <m:sepChr m:val=""/>
              <m:endChr m:val=")"/>
              <m:grow/>
            </m:dPr>
            <m:e>
              <m:r>
                <m:t>y</m:t>
              </m:r>
            </m:e>
          </m:d>
          <m:r>
            <m:t>c</m:t>
          </m:r>
          <m:d>
            <m:dPr>
              <m:begChr m:val="("/>
              <m:sepChr m:val=""/>
              <m:endChr m:val=")"/>
              <m:grow/>
            </m:dPr>
            <m:e>
              <m:r>
                <m:t>ϕ</m:t>
              </m:r>
            </m:e>
          </m:d>
          <m:sSup>
            <m:e>
              <m:r>
                <m:t>e</m:t>
              </m:r>
            </m:e>
            <m:sup>
              <m:r>
                <m:t>ϕ</m:t>
              </m:r>
              <m:r>
                <m:t>t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</m:e>
              </m:d>
            </m:sup>
          </m:sSup>
        </m:oMath>
      </m:oMathPara>
    </w:p>
    <w:p>
      <w:pPr>
        <w:pStyle w:val="BlockText"/>
      </w:pPr>
      <w:r>
        <w:t xml:space="preserve">where</w:t>
      </w:r>
      <w:r>
        <w:t xml:space="preserve"> </w:t>
      </w:r>
      <m:oMath>
        <m:r>
          <m:t>ϕ</m:t>
        </m:r>
      </m:oMath>
      <w:r>
        <w:t xml:space="preserve"> </w:t>
      </w:r>
      <w:r>
        <w:t xml:space="preserve">is the unknown</w:t>
      </w:r>
      <w:r>
        <w:t xml:space="preserve"> </w:t>
      </w:r>
      <w:r>
        <w:t xml:space="preserve">parameter and</w:t>
      </w:r>
      <w:r>
        <w:t xml:space="preserve"> </w:t>
      </w:r>
      <m:oMath>
        <m:r>
          <m:t>t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</m:oMath>
      <w:r>
        <w:t xml:space="preserve"> </w:t>
      </w:r>
      <w:r>
        <w:t xml:space="preserve">is the sufficient statistic.</w:t>
      </w:r>
    </w:p>
    <w:p>
      <w:pPr>
        <w:pStyle w:val="FirstParagraph"/>
      </w:pPr>
      <w:r>
        <w:t xml:space="preserve">Diaconis and Ylvisaker (1979) showed that the above class of models has conjugate prior densities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ϕ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n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t</m:t>
                  </m:r>
                </m:e>
                <m:sub>
                  <m:r>
                    <m:t>0</m:t>
                  </m:r>
                </m:sub>
              </m:sSub>
            </m:e>
          </m:d>
          <m:r>
            <m:rPr>
              <m:sty m:val="p"/>
            </m:rPr>
            <m:t>=</m:t>
          </m:r>
          <m:r>
            <m:t>κ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n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t</m:t>
                  </m:r>
                </m:e>
                <m:sub>
                  <m:r>
                    <m:t>0</m:t>
                  </m:r>
                </m:sub>
              </m:sSub>
            </m:e>
          </m:d>
          <m:r>
            <m:t>c</m:t>
          </m:r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ϕ</m:t>
                  </m:r>
                </m:e>
              </m:d>
            </m:e>
            <m:sup>
              <m:sSub>
                <m:e>
                  <m:r>
                    <m:t>n</m:t>
                  </m:r>
                </m:e>
                <m:sub>
                  <m:r>
                    <m:t>0</m:t>
                  </m:r>
                </m:sub>
              </m:sSub>
            </m:sup>
          </m:sSup>
          <m:sSup>
            <m:e>
              <m:r>
                <m:t>e</m:t>
              </m:r>
            </m:e>
            <m:sup>
              <m:sSub>
                <m:e>
                  <m:r>
                    <m:t>n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t</m:t>
                  </m:r>
                </m:e>
                <m:sub>
                  <m:r>
                    <m:t>0</m:t>
                  </m:r>
                </m:sub>
              </m:sSub>
              <m:r>
                <m:t>ϕ</m:t>
              </m:r>
            </m:sup>
          </m:sSup>
        </m:oMath>
      </m:oMathPara>
    </w:p>
    <w:p>
      <w:pPr>
        <w:pStyle w:val="FirstParagraph"/>
      </w:pPr>
      <w:r>
        <w:t xml:space="preserve">Where the posterior density is therefore</w:t>
      </w:r>
    </w:p>
    <w:p>
      <w:pPr>
        <w:pStyle w:val="BodyText"/>
      </w:pPr>
    </w:p>
    <w:p>
      <w:pPr>
        <w:pStyle w:val="BodyText"/>
      </w:pPr>
      <w:r>
        <w:t xml:space="preserve">For this class of priors, we can interpret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as a</w:t>
      </w:r>
      <w:r>
        <w:t xml:space="preserve"> </w:t>
      </w:r>
      <w:r>
        <w:t xml:space="preserve">“prior sample size”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t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the prior expectation of the sufficient statistic</w:t>
      </w:r>
      <w:r>
        <w:t xml:space="preserve"> </w:t>
      </w:r>
      <m:oMath>
        <m:r>
          <m:t>t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</m:oMath>
      <w:r>
        <w:t xml:space="preserve">.</w:t>
      </w:r>
    </w:p>
    <w:bookmarkStart w:id="43" w:name="example-binomial-model"/>
    <w:p>
      <w:pPr>
        <w:pStyle w:val="Heading2"/>
      </w:pPr>
      <w:r>
        <w:t xml:space="preserve">3.1 Example: Binomial model</w:t>
      </w:r>
    </w:p>
    <w:bookmarkStart w:id="41" w:name="parameterization"/>
    <w:p>
      <w:pPr>
        <w:pStyle w:val="Heading3"/>
      </w:pPr>
      <w:r>
        <w:t xml:space="preserve">3.1.1 Parameterization</w:t>
      </w:r>
    </w:p>
    <w:p>
      <w:pPr>
        <w:pStyle w:val="FirstParagraph"/>
      </w:pPr>
      <w:r>
        <w:t xml:space="preserve">We can obtain the representation from a single binary random variable (why?)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θ</m:t>
              </m:r>
            </m:e>
          </m:d>
          <m:r>
            <m:rPr>
              <m:sty m:val="p"/>
            </m:rPr>
            <m:t>=</m:t>
          </m:r>
          <m:sSup>
            <m:e>
              <m:r>
                <m:t>θ</m:t>
              </m:r>
            </m:e>
            <m:sup>
              <m:r>
                <m:t>y</m:t>
              </m:r>
            </m:sup>
          </m:sSup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θ</m:t>
                  </m:r>
                </m:e>
              </m:d>
            </m:e>
            <m:sup>
              <m:r>
                <m:t>1</m:t>
              </m:r>
              <m:r>
                <m:rPr>
                  <m:sty m:val="p"/>
                </m:rPr>
                <m:t>−</m:t>
              </m:r>
              <m:r>
                <m:t>y</m:t>
              </m:r>
            </m:sup>
          </m:sSup>
        </m:oMath>
      </m:oMathPara>
    </w:p>
    <w:p>
      <w:pPr>
        <w:pStyle w:val="FirstParagraph"/>
      </w:pPr>
      <w:r>
        <w:t xml:space="preserve">We can express this as an exponential family model by reparameterizing by the log odds</w:t>
      </w:r>
      <w:r>
        <w:t xml:space="preserve"> </w:t>
      </w:r>
      <m:oMath>
        <m:r>
          <m:t>ϕ</m:t>
        </m:r>
        <m:r>
          <m:rPr>
            <m:sty m:val="p"/>
          </m:rPr>
          <m:t>=</m:t>
        </m:r>
        <m:r>
          <m:rPr>
            <m:sty m:val="p"/>
          </m:rPr>
          <m:t>log</m:t>
        </m:r>
        <m:f>
          <m:fPr>
            <m:type m:val="bar"/>
          </m:fPr>
          <m:num>
            <m:r>
              <m:t>θ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θ</m:t>
            </m:r>
          </m:den>
        </m:f>
      </m:oMath>
      <w:r>
        <w:t xml:space="preserve">, so that</w:t>
      </w:r>
      <w:r>
        <w:t xml:space="preserve"> </w:t>
      </w:r>
      <m:oMath>
        <m:r>
          <m:t>θ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ϕ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t>ϕ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:</w:t>
      </w:r>
    </w:p>
    <w:p>
      <w:pPr>
        <w:pStyle w:val="BodyText"/>
      </w:pPr>
    </w:p>
    <w:p>
      <w:pPr>
        <w:pStyle w:val="BodyText"/>
      </w:pPr>
      <w:r>
        <w:t xml:space="preserve">Here,</w:t>
      </w:r>
    </w:p>
    <w:p>
      <w:pPr>
        <w:pStyle w:val="Compact"/>
        <w:numPr>
          <w:ilvl w:val="0"/>
          <w:numId w:val="1005"/>
        </w:numPr>
      </w:pPr>
      <m:oMath>
        <m:r>
          <m:t>h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1</m:t>
        </m:r>
      </m:oMath>
    </w:p>
    <w:p>
      <w:pPr>
        <w:pStyle w:val="Compact"/>
        <w:numPr>
          <w:ilvl w:val="0"/>
          <w:numId w:val="1005"/>
        </w:numPr>
      </w:pPr>
      <m:oMath>
        <m:r>
          <m:t>c</m:t>
        </m:r>
        <m:d>
          <m:dPr>
            <m:begChr m:val="("/>
            <m:sepChr m:val=""/>
            <m:endChr m:val=")"/>
            <m:grow/>
          </m:dPr>
          <m:e>
            <m:r>
              <m:t>ϕ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sSup>
                  <m:e>
                    <m:r>
                      <m:t>e</m:t>
                    </m:r>
                  </m:e>
                  <m:sup>
                    <m:r>
                      <m:t>ϕ</m:t>
                    </m:r>
                  </m:sup>
                </m:sSup>
              </m:e>
            </m:d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</w:p>
    <w:p>
      <w:pPr>
        <w:pStyle w:val="Compact"/>
        <w:numPr>
          <w:ilvl w:val="0"/>
          <w:numId w:val="1005"/>
        </w:numPr>
      </w:pPr>
      <m:oMath>
        <m:r>
          <m:t>t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y</m:t>
        </m:r>
      </m:oMath>
    </w:p>
    <w:p>
      <w:pPr>
        <w:pStyle w:val="FirstParagraph"/>
      </w:pPr>
      <w:r>
        <w:t xml:space="preserve">(It’s intuitive that the sufficient statistic is</w:t>
      </w:r>
      <w:r>
        <w:t xml:space="preserve"> </w:t>
      </w:r>
      <m:oMath>
        <m:r>
          <m:t>y</m:t>
        </m:r>
      </m:oMath>
      <w:r>
        <w:t xml:space="preserve">)</w:t>
      </w:r>
    </w:p>
    <w:bookmarkEnd w:id="41"/>
    <w:bookmarkStart w:id="42" w:name="prior"/>
    <w:p>
      <w:pPr>
        <w:pStyle w:val="Heading3"/>
      </w:pPr>
      <w:r>
        <w:t xml:space="preserve">3.1.2 Prior</w:t>
      </w:r>
    </w:p>
    <w:p>
      <w:pPr>
        <w:pStyle w:val="FirstParagraph"/>
      </w:pPr>
      <w:r>
        <w:t xml:space="preserve">The conjugate prior on</w:t>
      </w:r>
      <w:r>
        <w:t xml:space="preserve"> </w:t>
      </w:r>
      <m:oMath>
        <m:r>
          <m:t>ϕ</m:t>
        </m:r>
      </m:oMath>
      <w:r>
        <w:t xml:space="preserve"> </w:t>
      </w:r>
      <w:r>
        <w:t xml:space="preserve">(discarding the constant</w:t>
      </w:r>
      <w:r>
        <w:t xml:space="preserve"> </w:t>
      </w:r>
      <m:oMath>
        <m:r>
          <m:t>κ</m:t>
        </m:r>
      </m:oMath>
      <w:r>
        <w:t xml:space="preserve">) is</w:t>
      </w:r>
    </w:p>
    <w:p>
      <w:pPr>
        <w:pStyle w:val="BodyText"/>
      </w:pPr>
    </w:p>
    <w:p>
      <w:pPr>
        <w:pStyle w:val="BodyText"/>
      </w:pPr>
      <w:r>
        <w:t xml:space="preserve">To return to a density on</w:t>
      </w:r>
      <w:r>
        <w:t xml:space="preserve"> </w:t>
      </w:r>
      <m:oMath>
        <m:r>
          <m:t>θ</m:t>
        </m:r>
      </m:oMath>
      <w:r>
        <w:t xml:space="preserve">, let</w:t>
      </w:r>
      <w:r>
        <w:t xml:space="preserve"> </w:t>
      </w:r>
      <m:oMath>
        <m:r>
          <m:t>θ</m:t>
        </m:r>
        <m:r>
          <m:rPr>
            <m:sty m:val="p"/>
          </m:rPr>
          <m:t>=</m:t>
        </m:r>
        <m:r>
          <m:t>g</m:t>
        </m:r>
        <m:d>
          <m:dPr>
            <m:begChr m:val="("/>
            <m:sepChr m:val=""/>
            <m:endChr m:val=")"/>
            <m:grow/>
          </m:dPr>
          <m:e>
            <m:r>
              <m:t>ϕ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ϕ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t>ϕ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t>ϕ</m:t>
        </m:r>
        <m:r>
          <m:rPr>
            <m:sty m:val="p"/>
          </m:rPr>
          <m:t>=</m:t>
        </m:r>
        <m:r>
          <m:t>h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</m:e>
        </m:d>
        <m:r>
          <m:rPr>
            <m:sty m:val="p"/>
          </m:rPr>
          <m:t>=</m:t>
        </m:r>
        <m:r>
          <m:rPr>
            <m:sty m:val="p"/>
          </m:rPr>
          <m:t>log</m:t>
        </m:r>
        <m:f>
          <m:fPr>
            <m:type m:val="bar"/>
          </m:fPr>
          <m:num>
            <m:r>
              <m:t>θ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θ</m:t>
            </m:r>
          </m:den>
        </m:f>
      </m:oMath>
      <w:r>
        <w:t xml:space="preserve">. Then, using the</w:t>
      </w:r>
      <w:r>
        <w:t xml:space="preserve"> </w:t>
      </w:r>
      <w:r>
        <w:t xml:space="preserve">change of variables formula (Exercise 3.10),</w:t>
      </w:r>
    </w:p>
    <w:p>
      <w:pPr>
        <w:pStyle w:val="BodyText"/>
      </w:pPr>
    </w:p>
    <w:p>
      <w:pPr>
        <w:pStyle w:val="BodyText"/>
      </w:pPr>
      <w:r>
        <w:t xml:space="preserve">So the posterior is</w:t>
      </w:r>
    </w:p>
    <w:p>
      <w:pPr>
        <w:pStyle w:val="BodyText"/>
      </w:pPr>
    </w:p>
    <w:bookmarkEnd w:id="42"/>
    <w:bookmarkEnd w:id="43"/>
    <w:bookmarkStart w:id="46" w:name="example-poisson-model"/>
    <w:p>
      <w:pPr>
        <w:pStyle w:val="Heading2"/>
      </w:pPr>
      <w:r>
        <w:t xml:space="preserve">3.2 Example: Poisson model</w:t>
      </w:r>
    </w:p>
    <w:bookmarkStart w:id="44" w:name="parameterization-1"/>
    <w:p>
      <w:pPr>
        <w:pStyle w:val="Heading3"/>
      </w:pPr>
      <w:r>
        <w:t xml:space="preserve">3.2.1 Parameterization</w:t>
      </w:r>
    </w:p>
    <w:p>
      <w:pPr>
        <w:pStyle w:val="FirstParagraph"/>
      </w:pPr>
    </w:p>
    <w:p>
      <w:pPr>
        <w:pStyle w:val="BodyText"/>
      </w:pPr>
      <w:r>
        <w:t xml:space="preserve">where</w:t>
      </w:r>
    </w:p>
    <w:p>
      <w:pPr>
        <w:pStyle w:val="Compact"/>
        <w:numPr>
          <w:ilvl w:val="0"/>
          <w:numId w:val="1006"/>
        </w:numPr>
      </w:pPr>
      <m:oMath>
        <m:r>
          <m:t>ϕ</m:t>
        </m:r>
        <m:r>
          <m:rPr>
            <m:sty m:val="p"/>
          </m:rPr>
          <m:t>=</m:t>
        </m:r>
        <m:r>
          <m:rPr>
            <m:sty m:val="p"/>
          </m:rPr>
          <m:t>log</m:t>
        </m:r>
        <m:r>
          <m:t>θ</m:t>
        </m:r>
      </m:oMath>
    </w:p>
    <w:p>
      <w:pPr>
        <w:pStyle w:val="Compact"/>
        <w:numPr>
          <w:ilvl w:val="0"/>
          <w:numId w:val="1006"/>
        </w:numPr>
      </w:pPr>
      <m:oMath>
        <m:r>
          <m:t>h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y</m:t>
            </m:r>
            <m:r>
              <m:rPr>
                <m:sty m:val="p"/>
              </m:rPr>
              <m:t>!</m:t>
            </m:r>
          </m:den>
        </m:f>
      </m:oMath>
    </w:p>
    <w:p>
      <w:pPr>
        <w:pStyle w:val="Compact"/>
        <w:numPr>
          <w:ilvl w:val="0"/>
          <w:numId w:val="1006"/>
        </w:numPr>
      </w:pPr>
      <m:oMath>
        <m:r>
          <m:t>t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y</m:t>
        </m:r>
      </m:oMath>
    </w:p>
    <w:p>
      <w:pPr>
        <w:pStyle w:val="Compact"/>
        <w:numPr>
          <w:ilvl w:val="0"/>
          <w:numId w:val="1006"/>
        </w:numPr>
      </w:pPr>
      <m:oMath>
        <m:r>
          <m:t>c</m:t>
        </m:r>
        <m:d>
          <m:dPr>
            <m:begChr m:val="("/>
            <m:sepChr m:val=""/>
            <m:endChr m:val=")"/>
            <m:grow/>
          </m:dPr>
          <m:e>
            <m:r>
              <m:t>ϕ</m:t>
            </m:r>
          </m:e>
        </m:d>
        <m:r>
          <m:rPr>
            <m:sty m:val="p"/>
          </m:rPr>
          <m:t>=</m:t>
        </m:r>
        <m:r>
          <m:rPr>
            <m:nor/>
            <m:sty m:val="p"/>
          </m:rPr>
          <m:t>exp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−</m:t>
            </m:r>
            <m:sSup>
              <m:e>
                <m:r>
                  <m:t>e</m:t>
                </m:r>
              </m:e>
              <m:sup>
                <m:r>
                  <m:t>ϕ</m:t>
                </m:r>
              </m:sup>
            </m:sSup>
          </m:e>
        </m:d>
      </m:oMath>
      <w:r>
        <w:t xml:space="preserve"> </w:t>
      </w:r>
      <w:r>
        <w:t xml:space="preserve">(The book has a typo here).</w:t>
      </w:r>
    </w:p>
    <w:bookmarkEnd w:id="44"/>
    <w:bookmarkStart w:id="45" w:name="prior-1"/>
    <w:p>
      <w:pPr>
        <w:pStyle w:val="Heading3"/>
      </w:pPr>
      <w:r>
        <w:t xml:space="preserve">3.2.2 Prior</w:t>
      </w:r>
    </w:p>
    <w:p>
      <w:pPr>
        <w:pStyle w:val="FirstParagraph"/>
      </w:pPr>
      <w:r>
        <w:t xml:space="preserve">Then the prior is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ϕ</m:t>
            </m:r>
            <m:r>
              <m:rPr>
                <m:sty m:val="p"/>
              </m:rPr>
              <m:t>∣</m:t>
            </m:r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t</m:t>
                </m:r>
              </m:e>
              <m:sub>
                <m:r>
                  <m:t>0</m:t>
                </m:r>
              </m:sub>
            </m:sSub>
          </m:e>
        </m:d>
        <m:r>
          <m:rPr>
            <m:sty m:val="p"/>
          </m:rPr>
          <m:t>=</m:t>
        </m:r>
        <m:r>
          <m:rPr>
            <m:nor/>
            <m:sty m:val="p"/>
          </m:rPr>
          <m:t>exp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ϕ</m:t>
                </m:r>
              </m:sup>
            </m:sSup>
          </m:e>
        </m:d>
        <m:sSup>
          <m:e>
            <m:r>
              <m:t>e</m:t>
            </m:r>
          </m:e>
          <m:sup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  <m:sSub>
              <m:e>
                <m:r>
                  <m:t>t</m:t>
                </m:r>
              </m:e>
              <m:sub>
                <m:r>
                  <m:t>0</m:t>
                </m:r>
              </m:sub>
            </m:sSub>
            <m:r>
              <m:t>ϕ</m:t>
            </m:r>
          </m:sup>
        </m:sSup>
      </m:oMath>
      <w:r>
        <w:t xml:space="preserve">. For time, I will do change of variables to show how this induces a</w:t>
      </w:r>
      <w:r>
        <w:t xml:space="preserve"> </w:t>
      </w:r>
      <m:oMath>
        <m:r>
          <m:rPr>
            <m:nor/>
            <m:sty m:val="p"/>
          </m:rPr>
          <m:t>Gamma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  <m:sSub>
              <m:e>
                <m:r>
                  <m:t>t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e>
        </m:d>
      </m:oMath>
      <w:r>
        <w:t xml:space="preserve"> </w:t>
      </w:r>
      <w:r>
        <w:t xml:space="preserve">density on</w:t>
      </w:r>
      <w:r>
        <w:t xml:space="preserve"> </w:t>
      </w:r>
      <m:oMath>
        <m:r>
          <m:t>θ</m:t>
        </m:r>
      </m:oMath>
      <w:r>
        <w:t xml:space="preserve">.</w:t>
      </w:r>
    </w:p>
    <w:bookmarkEnd w:id="45"/>
    <w:bookmarkEnd w:id="46"/>
    <w:bookmarkEnd w:id="47"/>
    <w:bookmarkStart w:id="125" w:name="exercises"/>
    <w:p>
      <w:pPr>
        <w:pStyle w:val="Heading1"/>
      </w:pPr>
      <w:r>
        <w:t xml:space="preserve">4. Exercises</w:t>
      </w:r>
    </w:p>
    <w:bookmarkStart w:id="65" w:name="section"/>
    <w:p>
      <w:pPr>
        <w:pStyle w:val="Heading2"/>
      </w:pPr>
      <w:r>
        <w:t xml:space="preserve">4.1 3.1</w:t>
      </w:r>
    </w:p>
    <w:bookmarkStart w:id="48" w:name="a"/>
    <w:p>
      <w:pPr>
        <w:pStyle w:val="Heading3"/>
      </w:pPr>
      <w:r>
        <w:t xml:space="preserve">4.1.1 a</w:t>
      </w:r>
    </w:p>
    <w:p>
      <w:pPr>
        <w:pStyle w:val="FirstParagraph"/>
      </w:pPr>
    </w:p>
    <w:bookmarkEnd w:id="48"/>
    <w:bookmarkStart w:id="52" w:name="b"/>
    <w:p>
      <w:pPr>
        <w:pStyle w:val="Heading3"/>
      </w:pPr>
      <w:r>
        <w:t xml:space="preserve">4.1.2 b</w:t>
      </w:r>
    </w:p>
    <w:p>
      <w:pPr>
        <w:pStyle w:val="SourceCode"/>
      </w:pPr>
      <w:r>
        <w:rPr>
          <w:rStyle w:val="CommentTok"/>
        </w:rPr>
        <w:t xml:space="preserve"># Hand-implementing this, but you can use dbinom easily</w:t>
      </w:r>
      <w:r>
        <w:br/>
      </w:r>
      <w:r>
        <w:rPr>
          <w:rStyle w:val="NormalTok"/>
        </w:rPr>
        <w:t xml:space="preserve">my_dbinom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(y, n, theta) </w:t>
      </w:r>
      <w:r>
        <w:rPr>
          <w:rStyle w:val="FunctionTok"/>
        </w:rPr>
        <w:t xml:space="preserve">choose</w:t>
      </w:r>
      <w:r>
        <w:rPr>
          <w:rStyle w:val="NormalTok"/>
        </w:rPr>
        <w:t xml:space="preserve">(n, y)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theta</w:t>
      </w:r>
      <w:r>
        <w:rPr>
          <w:rStyle w:val="SpecialCharTok"/>
        </w:rPr>
        <w:t xml:space="preserve">^</w:t>
      </w:r>
      <w:r>
        <w:rPr>
          <w:rStyle w:val="NormalTok"/>
        </w:rPr>
        <w:t xml:space="preserve">y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theta)</w:t>
      </w:r>
      <w:r>
        <w:rPr>
          <w:rStyle w:val="SpecialCharTok"/>
        </w:rPr>
        <w:t xml:space="preserve">^</w:t>
      </w:r>
      <w:r>
        <w:rPr>
          <w:rStyle w:val="NormalTok"/>
        </w:rPr>
        <w:t xml:space="preserve">(n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y)</w:t>
      </w:r>
      <w:r>
        <w:br/>
      </w:r>
      <w:r>
        <w:rPr>
          <w:rStyle w:val="NormalTok"/>
        </w:rPr>
        <w:t xml:space="preserve">theta.discrete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Y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57</w:t>
      </w:r>
      <w:r>
        <w:br/>
      </w:r>
      <w:r>
        <w:rPr>
          <w:rStyle w:val="NormalTok"/>
        </w:rPr>
        <w:t xml:space="preserve">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br/>
      </w:r>
      <w:r>
        <w:rPr>
          <w:rStyle w:val="NormalTok"/>
        </w:rPr>
        <w:t xml:space="preserve">ps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(theta.discrete,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(theta) </w:t>
      </w:r>
      <w:r>
        <w:rPr>
          <w:rStyle w:val="FunctionTok"/>
        </w:rPr>
        <w:t xml:space="preserve">my_dbinom</w:t>
      </w:r>
      <w:r>
        <w:rPr>
          <w:rStyle w:val="NormalTok"/>
        </w:rPr>
        <w:t xml:space="preserve">(Y, N, theta))</w:t>
      </w:r>
      <w:r>
        <w:br/>
      </w:r>
      <w:r>
        <w:br/>
      </w:r>
      <w:r>
        <w:rPr>
          <w:rStyle w:val="NormalTok"/>
        </w:rPr>
        <w:t xml:space="preserve">df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theta =</w:t>
      </w:r>
      <w:r>
        <w:rPr>
          <w:rStyle w:val="NormalTok"/>
        </w:rPr>
        <w:t xml:space="preserve"> theta.discrete, </w:t>
      </w:r>
      <w:r>
        <w:rPr>
          <w:rStyle w:val="AttributeTok"/>
        </w:rPr>
        <w:t xml:space="preserve">p =</w:t>
      </w:r>
      <w:r>
        <w:rPr>
          <w:rStyle w:val="NormalTok"/>
        </w:rPr>
        <w:t xml:space="preserve"> ps)</w:t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(df,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   theta     p</w:t>
      </w:r>
      <w:r>
        <w:br/>
      </w:r>
      <w:r>
        <w:rPr>
          <w:rStyle w:val="CommentTok"/>
        </w:rPr>
        <w:t xml:space="preserve">#&gt; 1    0.0 0.000</w:t>
      </w:r>
      <w:r>
        <w:br/>
      </w:r>
      <w:r>
        <w:rPr>
          <w:rStyle w:val="CommentTok"/>
        </w:rPr>
        <w:t xml:space="preserve">#&gt; 2    0.1 0.000</w:t>
      </w:r>
      <w:r>
        <w:br/>
      </w:r>
      <w:r>
        <w:rPr>
          <w:rStyle w:val="CommentTok"/>
        </w:rPr>
        <w:t xml:space="preserve">#&gt; 3    0.2 0.000</w:t>
      </w:r>
      <w:r>
        <w:br/>
      </w:r>
      <w:r>
        <w:rPr>
          <w:rStyle w:val="CommentTok"/>
        </w:rPr>
        <w:t xml:space="preserve">#&gt; 4    0.3 0.000</w:t>
      </w:r>
      <w:r>
        <w:br/>
      </w:r>
      <w:r>
        <w:rPr>
          <w:rStyle w:val="CommentTok"/>
        </w:rPr>
        <w:t xml:space="preserve">#&gt; 5    0.4 0.000</w:t>
      </w:r>
      <w:r>
        <w:br/>
      </w:r>
      <w:r>
        <w:rPr>
          <w:rStyle w:val="CommentTok"/>
        </w:rPr>
        <w:t xml:space="preserve">#&gt; 6    0.5 0.030</w:t>
      </w:r>
      <w:r>
        <w:br/>
      </w:r>
      <w:r>
        <w:rPr>
          <w:rStyle w:val="CommentTok"/>
        </w:rPr>
        <w:t xml:space="preserve">#&gt; 7    0.6 0.067</w:t>
      </w:r>
      <w:r>
        <w:br/>
      </w:r>
      <w:r>
        <w:rPr>
          <w:rStyle w:val="CommentTok"/>
        </w:rPr>
        <w:t xml:space="preserve">#&gt; 8    0.7 0.002</w:t>
      </w:r>
      <w:r>
        <w:br/>
      </w:r>
      <w:r>
        <w:rPr>
          <w:rStyle w:val="CommentTok"/>
        </w:rPr>
        <w:t xml:space="preserve">#&gt; 9    0.8 0.000</w:t>
      </w:r>
      <w:r>
        <w:br/>
      </w:r>
      <w:r>
        <w:rPr>
          <w:rStyle w:val="CommentTok"/>
        </w:rPr>
        <w:t xml:space="preserve">#&gt; 10   0.9 0.000</w:t>
      </w:r>
      <w:r>
        <w:br/>
      </w:r>
      <w:r>
        <w:rPr>
          <w:rStyle w:val="CommentTok"/>
        </w:rPr>
        <w:t xml:space="preserve">#&gt; 11   1.0 0.000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(df,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theta,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p))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geom_bar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stat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'identity'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scale_x_continuous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breaks =</w:t>
      </w:r>
      <w:r>
        <w:rPr>
          <w:rStyle w:val="NormalTok"/>
        </w:rPr>
        <w:t xml:space="preserve"> theta.discrete)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3_files/figure-docx/unnamed-chunk-5-1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2"/>
    <w:bookmarkStart w:id="56" w:name="c"/>
    <w:p>
      <w:pPr>
        <w:pStyle w:val="Heading3"/>
      </w:pPr>
      <w:r>
        <w:t xml:space="preserve">4.1.3 c</w:t>
      </w:r>
    </w:p>
    <w:p>
      <w:pPr>
        <w:pStyle w:val="FirstParagraph"/>
      </w:pPr>
      <w:r>
        <w:t xml:space="preserve">If we have a uniform prior on beliefs of</w:t>
      </w:r>
      <w:r>
        <w:t xml:space="preserve"> </w:t>
      </w:r>
      <m:oMath>
        <m:r>
          <m:t>θ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0.1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1.0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=</m:t>
            </m:r>
            <m:r>
              <m:t>0.0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=</m:t>
            </m:r>
            <m:r>
              <m:t>0.1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11</m:t>
        </m:r>
      </m:oMath>
      <w:r>
        <w:t xml:space="preserve">.</w:t>
      </w:r>
    </w:p>
    <w:p>
      <w:pPr>
        <w:pStyle w:val="BodyText"/>
      </w:pPr>
    </w:p>
    <w:p>
      <w:pPr>
        <w:pStyle w:val="BodyText"/>
      </w:pPr>
      <w:r>
        <w:t xml:space="preserve">Notice that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</m:e>
        </m:d>
      </m:oMath>
      <w:r>
        <w:t xml:space="preserve"> </w:t>
      </w:r>
      <w:r>
        <w:t xml:space="preserve">is constant for all</w:t>
      </w:r>
      <w:r>
        <w:t xml:space="preserve"> </w:t>
      </w:r>
      <m:oMath>
        <m:r>
          <m:t>θ</m:t>
        </m:r>
      </m:oMath>
      <w:r>
        <w:t xml:space="preserve">, so it can be pulled out of</w:t>
      </w:r>
      <w:r>
        <w:t xml:space="preserve"> </w:t>
      </w:r>
      <w:r>
        <w:t xml:space="preserve">the sum at the bottom and cancelled with the numerator:</w:t>
      </w:r>
    </w:p>
    <w:p>
      <w:pPr>
        <w:pStyle w:val="BodyText"/>
      </w:pPr>
    </w:p>
    <w:p>
      <w:pPr>
        <w:pStyle w:val="BodyText"/>
      </w:pPr>
      <w:r>
        <w:t xml:space="preserve">since the denominator is the constant</w:t>
      </w:r>
    </w:p>
    <w:p>
      <w:pPr>
        <w:pStyle w:val="SourceCode"/>
      </w:pPr>
      <w:r>
        <w:rPr>
          <w:rStyle w:val="NormalTok"/>
        </w:rPr>
        <w:t xml:space="preserve">denom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(ps)</w:t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(denom,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[1] 0.099</w:t>
      </w:r>
    </w:p>
    <w:p>
      <w:pPr>
        <w:pStyle w:val="FirstParagraph"/>
      </w:pPr>
      <w:r>
        <w:t xml:space="preserve">So the posterior distribution has the same shape, but different scale.</w:t>
      </w:r>
    </w:p>
    <w:p>
      <w:pPr>
        <w:pStyle w:val="SourceCode"/>
      </w:pPr>
      <w:r>
        <w:rPr>
          <w:rStyle w:val="NormalTok"/>
        </w:rPr>
        <w:t xml:space="preserve">posteriors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(theta.discrete,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(theta) </w:t>
      </w:r>
      <w:r>
        <w:rPr>
          <w:rStyle w:val="FunctionTok"/>
        </w:rPr>
        <w:t xml:space="preserve">my_dbinom</w:t>
      </w:r>
      <w:r>
        <w:rPr>
          <w:rStyle w:val="NormalTok"/>
        </w:rPr>
        <w:t xml:space="preserve">(Y, N, theta)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denom)</w:t>
      </w:r>
      <w:r>
        <w:br/>
      </w:r>
      <w:r>
        <w:br/>
      </w:r>
      <w:r>
        <w:rPr>
          <w:rStyle w:val="NormalTok"/>
        </w:rPr>
        <w:t xml:space="preserve">df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theta =</w:t>
      </w:r>
      <w:r>
        <w:rPr>
          <w:rStyle w:val="NormalTok"/>
        </w:rPr>
        <w:t xml:space="preserve"> theta.discrete, </w:t>
      </w:r>
      <w:r>
        <w:rPr>
          <w:rStyle w:val="AttributeTok"/>
        </w:rPr>
        <w:t xml:space="preserve">p =</w:t>
      </w:r>
      <w:r>
        <w:rPr>
          <w:rStyle w:val="NormalTok"/>
        </w:rPr>
        <w:t xml:space="preserve"> posteriors)</w:t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(df,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   theta     p</w:t>
      </w:r>
      <w:r>
        <w:br/>
      </w:r>
      <w:r>
        <w:rPr>
          <w:rStyle w:val="CommentTok"/>
        </w:rPr>
        <w:t xml:space="preserve">#&gt; 1    0.0 0.000</w:t>
      </w:r>
      <w:r>
        <w:br/>
      </w:r>
      <w:r>
        <w:rPr>
          <w:rStyle w:val="CommentTok"/>
        </w:rPr>
        <w:t xml:space="preserve">#&gt; 2    0.1 0.000</w:t>
      </w:r>
      <w:r>
        <w:br/>
      </w:r>
      <w:r>
        <w:rPr>
          <w:rStyle w:val="CommentTok"/>
        </w:rPr>
        <w:t xml:space="preserve">#&gt; 3    0.2 0.000</w:t>
      </w:r>
      <w:r>
        <w:br/>
      </w:r>
      <w:r>
        <w:rPr>
          <w:rStyle w:val="CommentTok"/>
        </w:rPr>
        <w:t xml:space="preserve">#&gt; 4    0.3 0.000</w:t>
      </w:r>
      <w:r>
        <w:br/>
      </w:r>
      <w:r>
        <w:rPr>
          <w:rStyle w:val="CommentTok"/>
        </w:rPr>
        <w:t xml:space="preserve">#&gt; 5    0.4 0.002</w:t>
      </w:r>
      <w:r>
        <w:br/>
      </w:r>
      <w:r>
        <w:rPr>
          <w:rStyle w:val="CommentTok"/>
        </w:rPr>
        <w:t xml:space="preserve">#&gt; 6    0.5 0.304</w:t>
      </w:r>
      <w:r>
        <w:br/>
      </w:r>
      <w:r>
        <w:rPr>
          <w:rStyle w:val="CommentTok"/>
        </w:rPr>
        <w:t xml:space="preserve">#&gt; 7    0.6 0.675</w:t>
      </w:r>
      <w:r>
        <w:br/>
      </w:r>
      <w:r>
        <w:rPr>
          <w:rStyle w:val="CommentTok"/>
        </w:rPr>
        <w:t xml:space="preserve">#&gt; 8    0.7 0.019</w:t>
      </w:r>
      <w:r>
        <w:br/>
      </w:r>
      <w:r>
        <w:rPr>
          <w:rStyle w:val="CommentTok"/>
        </w:rPr>
        <w:t xml:space="preserve">#&gt; 9    0.8 0.000</w:t>
      </w:r>
      <w:r>
        <w:br/>
      </w:r>
      <w:r>
        <w:rPr>
          <w:rStyle w:val="CommentTok"/>
        </w:rPr>
        <w:t xml:space="preserve">#&gt; 10   0.9 0.000</w:t>
      </w:r>
      <w:r>
        <w:br/>
      </w:r>
      <w:r>
        <w:rPr>
          <w:rStyle w:val="CommentTok"/>
        </w:rPr>
        <w:t xml:space="preserve">#&gt; 11   1.0 0.000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(df,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theta,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p))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geom_bar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stat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'identity'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scale_x_continuous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breaks =</w:t>
      </w:r>
      <w:r>
        <w:rPr>
          <w:rStyle w:val="NormalTok"/>
        </w:rPr>
        <w:t xml:space="preserve"> theta.discrete)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3_files/figure-docx/unnamed-chunk-7-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Notice the denominator calculation could have been ignored - we could simply normalize the proportional prior densities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∑</m:t>
            </m:r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=</m:t>
            </m:r>
            <m:r>
              <m:t>57</m:t>
            </m:r>
            <m:r>
              <m:rPr>
                <m:sty m:val="p"/>
              </m:rPr>
              <m:t>∣</m:t>
            </m:r>
            <m:r>
              <m:t>θ</m:t>
            </m:r>
          </m:e>
        </m:d>
      </m:oMath>
      <w:r>
        <w:t xml:space="preserve"> </w:t>
      </w:r>
      <w:r>
        <w:t xml:space="preserve">to 1.</w:t>
      </w:r>
    </w:p>
    <w:bookmarkEnd w:id="56"/>
    <w:bookmarkStart w:id="60" w:name="d"/>
    <w:p>
      <w:pPr>
        <w:pStyle w:val="Heading3"/>
      </w:pPr>
      <w:r>
        <w:t xml:space="preserve">4.1.4 d</w:t>
      </w:r>
    </w:p>
    <w:p>
      <w:pPr>
        <w:pStyle w:val="FirstParagraph"/>
      </w:pPr>
      <w:r>
        <w:t xml:space="preserve">Since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, the density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</m:e>
        </m:d>
        <m:r>
          <m:rPr>
            <m:sty m:val="p"/>
          </m:rPr>
          <m:t>×</m:t>
        </m:r>
        <m:r>
          <m:t>P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∑</m:t>
            </m:r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=</m:t>
            </m:r>
            <m:r>
              <m:t>57</m:t>
            </m:r>
            <m:r>
              <m:rPr>
                <m:sty m:val="p"/>
              </m:rPr>
              <m:t>∣</m:t>
            </m:r>
            <m:r>
              <m:t>θ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∑</m:t>
            </m:r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=</m:t>
            </m:r>
            <m:r>
              <m:t>57</m:t>
            </m:r>
            <m:r>
              <m:rPr>
                <m:sty m:val="p"/>
              </m:rPr>
              <m:t>∣</m:t>
            </m:r>
            <m:r>
              <m:t>θ</m:t>
            </m:r>
          </m:e>
        </m:d>
      </m:oMath>
      <w:r>
        <w:t xml:space="preserve">. From (a),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∑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57</m:t>
              </m:r>
              <m:r>
                <m:rPr>
                  <m:sty m:val="p"/>
                </m:rPr>
                <m:t>∣</m:t>
              </m:r>
              <m:r>
                <m:t>θ</m:t>
              </m:r>
            </m:e>
          </m:d>
          <m:r>
            <m:rPr>
              <m:sty m:val="p"/>
            </m:rPr>
            <m:t>=</m:t>
          </m:r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noBar"/>
                </m:fPr>
                <m:num>
                  <m:r>
                    <m:t>100</m:t>
                  </m:r>
                </m:num>
                <m:den>
                  <m:r>
                    <m:t>57</m:t>
                  </m:r>
                </m:den>
              </m:f>
            </m:e>
          </m:d>
          <m:sSup>
            <m:e>
              <m:r>
                <m:t>θ</m:t>
              </m:r>
            </m:e>
            <m:sup>
              <m:r>
                <m:t>57</m:t>
              </m:r>
            </m:sup>
          </m:sSup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θ</m:t>
                  </m:r>
                </m:e>
              </m:d>
            </m:e>
            <m:sup>
              <m:r>
                <m:t>43</m:t>
              </m:r>
            </m:sup>
          </m:sSup>
        </m:oMath>
      </m:oMathPara>
    </w:p>
    <w:p>
      <w:pPr>
        <w:pStyle w:val="FirstParagraph"/>
      </w:pPr>
      <w:r>
        <w:t xml:space="preserve">which is implemented in the</w:t>
      </w:r>
      <w:r>
        <w:t xml:space="preserve"> </w:t>
      </w:r>
      <w:r>
        <w:rPr>
          <w:rStyle w:val="VerbatimChar"/>
        </w:rPr>
        <w:t xml:space="preserve">my_dbinom</w:t>
      </w:r>
      <w:r>
        <w:t xml:space="preserve"> </w:t>
      </w:r>
      <w:r>
        <w:t xml:space="preserve">function. So</w:t>
      </w:r>
    </w:p>
    <w:p>
      <w:pPr>
        <w:pStyle w:val="SourceCode"/>
      </w:pPr>
      <w:r>
        <w:rPr>
          <w:rStyle w:val="NormalTok"/>
        </w:rPr>
        <w:t xml:space="preserve">theta.continuous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0.001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qplot</w:t>
      </w:r>
      <w:r>
        <w:rPr>
          <w:rStyle w:val="NormalTok"/>
        </w:rPr>
        <w:t xml:space="preserve">(theta.continuous, </w:t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(theta.continuous,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(theta) </w:t>
      </w:r>
      <w:r>
        <w:rPr>
          <w:rStyle w:val="FunctionTok"/>
        </w:rPr>
        <w:t xml:space="preserve">my_dbinom</w:t>
      </w:r>
      <w:r>
        <w:rPr>
          <w:rStyle w:val="NormalTok"/>
        </w:rPr>
        <w:t xml:space="preserve">(Y, N, theta)),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geom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'line'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3_files/figure-docx/unnamed-chunk-8-1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0"/>
    <w:bookmarkStart w:id="64" w:name="e"/>
    <w:p>
      <w:pPr>
        <w:pStyle w:val="Heading3"/>
      </w:pPr>
      <w:r>
        <w:t xml:space="preserve">4.1.5 e</w:t>
      </w:r>
    </w:p>
    <w:p>
      <w:pPr>
        <w:pStyle w:val="FirstParagraph"/>
      </w:pPr>
      <w:r>
        <w:t xml:space="preserve">Treat the uniform prior as a</w:t>
      </w:r>
      <w:r>
        <w:t xml:space="preserve"> </w:t>
      </w:r>
      <m:oMath>
        <m:r>
          <m:rPr>
            <m:nor/>
            <m:sty m:val="p"/>
          </m:rPr>
          <m:t>Beta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 </w:t>
      </w:r>
      <w:r>
        <w:t xml:space="preserve">distribution. Then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∣</m:t>
            </m:r>
            <m:r>
              <m:rPr>
                <m:sty m:val="p"/>
              </m:rPr>
              <m:t>∑</m:t>
            </m:r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=</m:t>
            </m:r>
            <m:r>
              <m:t>y</m:t>
            </m:r>
          </m:e>
        </m:d>
        <m:r>
          <m:rPr>
            <m:sty m:val="p"/>
          </m:rPr>
          <m:t>∼</m:t>
        </m:r>
        <m:r>
          <m:rPr>
            <m:nor/>
            <m:sty m:val="p"/>
          </m:rPr>
          <m:t>Beta</m:t>
        </m:r>
        <m:d>
          <m:dPr>
            <m:begChr m:val="("/>
            <m:sepChr m:val=""/>
            <m:endChr m:val=")"/>
            <m:grow/>
          </m:dPr>
          <m:e>
            <m:r>
              <m:t>58</m:t>
            </m:r>
            <m:r>
              <m:rPr>
                <m:sty m:val="p"/>
              </m:rPr>
              <m:t>,</m:t>
            </m:r>
            <m:r>
              <m:t>44</m:t>
            </m:r>
          </m:e>
        </m:d>
      </m:oMath>
      <w:r>
        <w:t xml:space="preserve">.</w:t>
      </w:r>
    </w:p>
    <w:p>
      <w:pPr>
        <w:pStyle w:val="SourceCode"/>
      </w:pPr>
      <w:r>
        <w:rPr>
          <w:rStyle w:val="FunctionTok"/>
        </w:rPr>
        <w:t xml:space="preserve">qplot</w:t>
      </w:r>
      <w:r>
        <w:rPr>
          <w:rStyle w:val="NormalTok"/>
        </w:rPr>
        <w:t xml:space="preserve">(theta.continuous, </w:t>
      </w:r>
      <w:r>
        <w:rPr>
          <w:rStyle w:val="FunctionTok"/>
        </w:rPr>
        <w:t xml:space="preserve">dbeta</w:t>
      </w:r>
      <w:r>
        <w:rPr>
          <w:rStyle w:val="NormalTok"/>
        </w:rPr>
        <w:t xml:space="preserve">(theta.continuous, </w:t>
      </w:r>
      <w:r>
        <w:rPr>
          <w:rStyle w:val="DecValTok"/>
        </w:rPr>
        <w:t xml:space="preserve">58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44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geom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'line'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3_files/figure-docx/unnamed-chunk-9-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7"/>
        </w:numPr>
      </w:pPr>
      <w:r>
        <w:t xml:space="preserve">is the posterior density before normalization by the constant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∑</m:t>
            </m:r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=</m:t>
            </m:r>
            <m:r>
              <m:t>57</m:t>
            </m:r>
          </m:e>
        </m:d>
        <m:r>
          <m:rPr>
            <m:sty m:val="p"/>
          </m:rPr>
          <m:t>=</m:t>
        </m:r>
        <m:r>
          <m:t>0.099</m:t>
        </m:r>
      </m:oMath>
      <w:r>
        <w:t xml:space="preserve">. (e) is the posterior density fully, after normalization. Notice that (d)</w:t>
      </w:r>
      <w:r>
        <w:t xml:space="preserve"> </w:t>
      </w:r>
      <w:r>
        <w:t xml:space="preserve">and (e) have the same shape, due to the lack of influence of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</m:e>
        </m:d>
      </m:oMath>
      <w:r>
        <w:t xml:space="preserve"> </w:t>
      </w:r>
      <w:r>
        <w:t xml:space="preserve">on</w:t>
      </w:r>
      <w:r>
        <w:t xml:space="preserve"> </w:t>
      </w:r>
      <w:r>
        <w:t xml:space="preserve">posterior calculation.</w:t>
      </w:r>
    </w:p>
    <w:bookmarkEnd w:id="64"/>
    <w:bookmarkEnd w:id="65"/>
    <w:bookmarkStart w:id="69" w:name="section-1"/>
    <w:p>
      <w:pPr>
        <w:pStyle w:val="Heading2"/>
      </w:pPr>
      <w:r>
        <w:t xml:space="preserve">4.2 3.2</w:t>
      </w:r>
    </w:p>
    <w:p>
      <w:pPr>
        <w:pStyle w:val="FirstParagraph"/>
      </w:pPr>
      <w:r>
        <w:t xml:space="preserve">For consistency, these will be rewritten as done in Chapter 1, where</w:t>
      </w:r>
      <w:r>
        <w:t xml:space="preserve"> </w:t>
      </w:r>
      <m:oMath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a</m:t>
        </m:r>
        <m:r>
          <m:rPr>
            <m:sty m:val="p"/>
          </m:rPr>
          <m:t>/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</m:oMath>
      <w:r>
        <w:t xml:space="preserve"> </w:t>
      </w:r>
      <w:r>
        <w:t xml:space="preserve">is the initial guess of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is the strength of</w:t>
      </w:r>
      <w:r>
        <w:t xml:space="preserve"> </w:t>
      </w:r>
      <w:r>
        <w:t xml:space="preserve">that guess. Then,</w:t>
      </w:r>
    </w:p>
    <w:p>
      <w:pPr>
        <w:pStyle w:val="SourceCode"/>
      </w:pPr>
      <w:r>
        <w:rPr>
          <w:rStyle w:val="CommentTok"/>
        </w:rPr>
        <w:t xml:space="preserve"># What is the expected value of theta after observing result y, given a Beta</w:t>
      </w:r>
      <w:r>
        <w:br/>
      </w:r>
      <w:r>
        <w:rPr>
          <w:rStyle w:val="CommentTok"/>
        </w:rPr>
        <w:t xml:space="preserve"># prior parameterized by theta0 and w?</w:t>
      </w:r>
      <w:r>
        <w:br/>
      </w:r>
      <w:r>
        <w:rPr>
          <w:rStyle w:val="NormalTok"/>
        </w:rPr>
        <w:t xml:space="preserve">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exp.posterior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(w, theta0, y) {</w:t>
      </w:r>
      <w:r>
        <w:br/>
      </w:r>
      <w:r>
        <w:rPr>
          <w:rStyle w:val="NormalTok"/>
        </w:rPr>
        <w:t xml:space="preserve">  (N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(w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N))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(y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(w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(w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N))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theta0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Theta0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rev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W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y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57</w:t>
      </w:r>
      <w:r>
        <w:br/>
      </w:r>
      <w:r>
        <w:rPr>
          <w:rStyle w:val="NormalTok"/>
        </w:rPr>
        <w:t xml:space="preserve">d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outer</w:t>
      </w:r>
      <w:r>
        <w:rPr>
          <w:rStyle w:val="NormalTok"/>
        </w:rPr>
        <w:t xml:space="preserve">(Theta0, W,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(theta0, w) </w:t>
      </w:r>
      <w:r>
        <w:rPr>
          <w:rStyle w:val="FunctionTok"/>
        </w:rPr>
        <w:t xml:space="preserve">exp.posterior</w:t>
      </w:r>
      <w:r>
        <w:rPr>
          <w:rStyle w:val="NormalTok"/>
        </w:rPr>
        <w:t xml:space="preserve">(w, theta0, </w:t>
      </w:r>
      <w:r>
        <w:rPr>
          <w:rStyle w:val="DecValTok"/>
        </w:rPr>
        <w:t xml:space="preserve">57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rownames</w:t>
      </w:r>
      <w:r>
        <w:rPr>
          <w:rStyle w:val="NormalTok"/>
        </w:rPr>
        <w:t xml:space="preserve">(d)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Theta0</w:t>
      </w:r>
      <w:r>
        <w:br/>
      </w:r>
      <w:r>
        <w:rPr>
          <w:rStyle w:val="FunctionTok"/>
        </w:rPr>
        <w:t xml:space="preserve">colnames</w:t>
      </w:r>
      <w:r>
        <w:rPr>
          <w:rStyle w:val="NormalTok"/>
        </w:rPr>
        <w:t xml:space="preserve">(d)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W</w:t>
      </w:r>
      <w:r>
        <w:br/>
      </w:r>
      <w:r>
        <w:br/>
      </w:r>
      <w:r>
        <w:rPr>
          <w:rStyle w:val="NormalTok"/>
        </w:rPr>
        <w:t xml:space="preserve">df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as.data.frame</w:t>
      </w:r>
      <w:r>
        <w:rPr>
          <w:rStyle w:val="NormalTok"/>
        </w:rPr>
        <w:t xml:space="preserve">(d)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rownames_to_column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'theta0'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pivot_longer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cols 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theta0, </w:t>
      </w:r>
      <w:r>
        <w:rPr>
          <w:rStyle w:val="AttributeTok"/>
        </w:rPr>
        <w:t xml:space="preserve">names_to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'w'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values_to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'theta'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theta0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(theta0), </w:t>
      </w:r>
      <w:r>
        <w:rPr>
          <w:rStyle w:val="AttributeTok"/>
        </w:rPr>
        <w:t xml:space="preserve">w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(w))</w:t>
      </w:r>
      <w:r>
        <w:br/>
      </w:r>
      <w:r>
        <w:br/>
      </w:r>
      <w:r>
        <w:rPr>
          <w:rStyle w:val="NormalTok"/>
        </w:rPr>
        <w:t xml:space="preserve">p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(df,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w,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theta0, </w:t>
      </w:r>
      <w:r>
        <w:rPr>
          <w:rStyle w:val="AttributeTok"/>
        </w:rPr>
        <w:t xml:space="preserve">z =</w:t>
      </w:r>
      <w:r>
        <w:rPr>
          <w:rStyle w:val="NormalTok"/>
        </w:rPr>
        <w:t xml:space="preserve"> theta))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geom_contour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colour =</w:t>
      </w:r>
      <w:r>
        <w:rPr>
          <w:rStyle w:val="NormalTok"/>
        </w:rPr>
        <w:t xml:space="preserve"> ..level..))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scale_x_continuous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breaks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32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labels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32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scale_y_continuous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breaks =</w:t>
      </w:r>
      <w:r>
        <w:rPr>
          <w:rStyle w:val="NormalTok"/>
        </w:rPr>
        <w:t xml:space="preserve"> Theta0)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(directlabels)</w:t>
      </w:r>
      <w:r>
        <w:br/>
      </w:r>
      <w:r>
        <w:rPr>
          <w:rStyle w:val="FunctionTok"/>
        </w:rPr>
        <w:t xml:space="preserve">direct.label</w:t>
      </w:r>
      <w:r>
        <w:rPr>
          <w:rStyle w:val="NormalTok"/>
        </w:rPr>
        <w:t xml:space="preserve">(p, 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'bottom.pieces'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67" name="Picture"/>
            <a:graphic>
              <a:graphicData uri="http://schemas.openxmlformats.org/drawingml/2006/picture">
                <pic:pic>
                  <pic:nvPicPr>
                    <pic:cNvPr descr="3_files/figure-docx/unnamed-chunk-10-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One can use this plot to determine whether or not they should believe that</w:t>
      </w:r>
      <w:r>
        <w:t xml:space="preserve"> </w:t>
      </w:r>
      <m:oMath>
        <m:r>
          <m:t>θ</m:t>
        </m:r>
        <m:r>
          <m:rPr>
            <m:sty m:val="p"/>
          </m:rPr>
          <m:t>&gt;</m:t>
        </m:r>
        <m:r>
          <m:t>0.5</m:t>
        </m:r>
      </m:oMath>
      <w:r>
        <w:t xml:space="preserve"> </w:t>
      </w:r>
      <w:r>
        <w:t xml:space="preserve">by quantifying their prior beliefs about the proportion with two</w:t>
      </w:r>
      <w:r>
        <w:t xml:space="preserve"> </w:t>
      </w:r>
      <w:r>
        <w:t xml:space="preserve">factors:</w:t>
      </w:r>
      <w:r>
        <w:t xml:space="preserve"> </w:t>
      </w: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, an initial estimate of the true proportion, and</w:t>
      </w:r>
      <w:r>
        <w:t xml:space="preserve"> </w:t>
      </w:r>
      <m:oMath>
        <m:r>
          <m:t>w</m:t>
        </m:r>
      </m:oMath>
      <w:r>
        <w:t xml:space="preserve">, the</w:t>
      </w:r>
      <w:r>
        <w:t xml:space="preserve"> </w:t>
      </w:r>
      <w:r>
        <w:t xml:space="preserve">“sample size”</w:t>
      </w:r>
      <w:r>
        <w:t xml:space="preserve"> </w:t>
      </w:r>
      <w:r>
        <w:t xml:space="preserve">of observed individuals that contributed to the initial estimate.</w:t>
      </w:r>
      <w:r>
        <w:t xml:space="preserve"> </w:t>
      </w:r>
      <w:r>
        <w:t xml:space="preserve">Then, viewing the corresponding contour on this plot would give an estimate of</w:t>
      </w:r>
      <w:r>
        <w:t xml:space="preserve"> </w:t>
      </w:r>
      <w:r>
        <w:t xml:space="preserve">the posterior proportion given these two variables. It is shown here that</w:t>
      </w:r>
      <w:r>
        <w:t xml:space="preserve"> </w:t>
      </w:r>
      <m:oMath>
        <m:r>
          <m:t>θ</m:t>
        </m:r>
        <m:r>
          <m:rPr>
            <m:sty m:val="p"/>
          </m:rPr>
          <m:t>&gt;</m:t>
        </m:r>
        <m:r>
          <m:t>0.5</m:t>
        </m:r>
      </m:oMath>
      <w:r>
        <w:t xml:space="preserve"> </w:t>
      </w:r>
      <w:r>
        <w:t xml:space="preserve">for most prior beliefs except for those with relatively low and</w:t>
      </w:r>
      <w:r>
        <w:t xml:space="preserve"> </w:t>
      </w:r>
      <w:r>
        <w:t xml:space="preserve">very strong estimates about</w:t>
      </w:r>
      <w:r>
        <w:t xml:space="preserve"> </w:t>
      </w: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.</w:t>
      </w:r>
    </w:p>
    <w:bookmarkEnd w:id="69"/>
    <w:bookmarkStart w:id="76" w:name="section-2"/>
    <w:p>
      <w:pPr>
        <w:pStyle w:val="Heading2"/>
      </w:pPr>
      <w:r>
        <w:t xml:space="preserve">4.3 3.3</w:t>
      </w:r>
    </w:p>
    <w:bookmarkStart w:id="70" w:name="a-1"/>
    <w:p>
      <w:pPr>
        <w:pStyle w:val="Heading3"/>
      </w:pPr>
      <w:r>
        <w:t xml:space="preserve">4.3.1 a</w:t>
      </w:r>
    </w:p>
    <w:p>
      <w:pPr>
        <w:pStyle w:val="SourceCode"/>
      </w:pPr>
      <w:r>
        <w:rPr>
          <w:rStyle w:val="NormalTok"/>
        </w:rPr>
        <w:t xml:space="preserve">ya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yb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Notice that</w:t>
      </w:r>
      <w:r>
        <w:t xml:space="preserve"> </w:t>
      </w:r>
      <m:oMath>
        <m:r>
          <m:rPr>
            <m:sty m:val="p"/>
          </m:rPr>
          <m:t>∑</m:t>
        </m:r>
        <m:sSub>
          <m:e>
            <m:r>
              <m:t>y</m:t>
            </m:r>
          </m:e>
          <m:sub>
            <m:r>
              <m:t>a</m:t>
            </m:r>
          </m:sub>
        </m:sSub>
        <m:r>
          <m:rPr>
            <m:sty m:val="p"/>
          </m:rPr>
          <m:t>=</m:t>
        </m:r>
        <m:r>
          <m:t>117</m:t>
        </m:r>
        <m:r>
          <m:rPr>
            <m:sty m:val="p"/>
          </m:rPr>
          <m:t>,</m:t>
        </m:r>
        <m:sSub>
          <m:e>
            <m:r>
              <m:t>n</m:t>
            </m:r>
          </m:e>
          <m:sub>
            <m:r>
              <m:t>a</m:t>
            </m:r>
          </m:sub>
        </m:sSub>
        <m:r>
          <m:rPr>
            <m:sty m:val="p"/>
          </m:rPr>
          <m:t>=</m:t>
        </m:r>
        <m:r>
          <m:t>10</m:t>
        </m:r>
        <m:r>
          <m:rPr>
            <m:sty m:val="p"/>
          </m:rPr>
          <m:t>,</m:t>
        </m:r>
        <m:r>
          <m:rPr>
            <m:sty m:val="p"/>
          </m:rPr>
          <m:t>∑</m:t>
        </m:r>
        <m:sSub>
          <m:e>
            <m:r>
              <m:t>y</m:t>
            </m:r>
          </m:e>
          <m:sub>
            <m:r>
              <m:t>b</m:t>
            </m:r>
          </m:sub>
        </m:sSub>
        <m:r>
          <m:rPr>
            <m:sty m:val="p"/>
          </m:rPr>
          <m:t>=</m:t>
        </m:r>
        <m:r>
          <m:t>113</m:t>
        </m:r>
        <m:r>
          <m:rPr>
            <m:sty m:val="p"/>
          </m:rPr>
          <m:t>,</m:t>
        </m:r>
        <m:sSub>
          <m:e>
            <m:r>
              <m:t>n</m:t>
            </m:r>
          </m:e>
          <m:sub>
            <m:r>
              <m:t>b</m:t>
            </m:r>
          </m:sub>
        </m:sSub>
        <m:r>
          <m:rPr>
            <m:sty m:val="p"/>
          </m:rPr>
          <m:t>=</m:t>
        </m:r>
        <m:r>
          <m:t>13</m:t>
        </m:r>
      </m:oMath>
      <w:r>
        <w:t xml:space="preserve">.</w:t>
      </w:r>
    </w:p>
    <w:p>
      <w:pPr>
        <w:pStyle w:val="BodyText"/>
      </w:pPr>
      <w:r>
        <w:t xml:space="preserve">If</w:t>
      </w:r>
    </w:p>
    <w:p>
      <w:pPr>
        <w:pStyle w:val="BodyText"/>
      </w:pPr>
    </w:p>
    <w:p>
      <w:pPr>
        <w:pStyle w:val="BodyText"/>
      </w:pPr>
      <w:r>
        <w:t xml:space="preserve">then</w:t>
      </w:r>
    </w:p>
    <w:p>
      <w:pPr>
        <w:pStyle w:val="BodyText"/>
      </w:pPr>
    </w:p>
    <w:p>
      <w:pPr>
        <w:pStyle w:val="BodyText"/>
      </w:pPr>
      <w:r>
        <w:t xml:space="preserve">So</w:t>
      </w:r>
    </w:p>
    <w:p>
      <w:pPr>
        <w:pStyle w:val="BodyText"/>
      </w:pPr>
    </w:p>
    <w:p>
      <w:pPr>
        <w:pStyle w:val="BodyText"/>
      </w:pPr>
      <w:r>
        <w:t xml:space="preserve">95% quantile-based confidence intervals can be solved by setting the CDF of the</w:t>
      </w:r>
      <w:r>
        <w:t xml:space="preserve"> </w:t>
      </w:r>
      <w:r>
        <w:t xml:space="preserve">Gammas to</w:t>
      </w:r>
      <w:r>
        <w:t xml:space="preserve"> </w:t>
      </w:r>
      <m:oMath>
        <m:r>
          <m:t>p</m:t>
        </m:r>
      </m:oMath>
      <w:r>
        <w:t xml:space="preserve">, and solving for</w:t>
      </w:r>
      <w:r>
        <w:t xml:space="preserve"> </w:t>
      </w:r>
      <m:oMath>
        <m:r>
          <m:t>θ</m:t>
        </m:r>
      </m:oMath>
      <w:r>
        <w:t xml:space="preserve">. Alternatively,</w:t>
      </w:r>
    </w:p>
    <w:p>
      <w:pPr>
        <w:pStyle w:val="SourceCode"/>
      </w:pPr>
      <w:r>
        <w:rPr>
          <w:rStyle w:val="FunctionTok"/>
        </w:rPr>
        <w:t xml:space="preserve">qgamma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), </w:t>
      </w:r>
      <w:r>
        <w:rPr>
          <w:rStyle w:val="DecValTok"/>
        </w:rPr>
        <w:t xml:space="preserve">237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[1] 10.38924 13.40545</w:t>
      </w:r>
      <w:r>
        <w:br/>
      </w:r>
      <w:r>
        <w:rPr>
          <w:rStyle w:val="FunctionTok"/>
        </w:rPr>
        <w:t xml:space="preserve">qgamma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), </w:t>
      </w:r>
      <w:r>
        <w:rPr>
          <w:rStyle w:val="DecValTok"/>
        </w:rPr>
        <w:t xml:space="preserve">125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14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[1]  7.432064 10.560308</w:t>
      </w:r>
    </w:p>
    <w:bookmarkEnd w:id="70"/>
    <w:bookmarkStart w:id="74" w:name="b-1"/>
    <w:p>
      <w:pPr>
        <w:pStyle w:val="Heading3"/>
      </w:pPr>
      <w:r>
        <w:t xml:space="preserve">4.3.2 b</w:t>
      </w:r>
    </w:p>
    <w:p>
      <w:pPr>
        <w:pStyle w:val="SourceCode"/>
      </w:pPr>
      <w:r>
        <w:rPr>
          <w:rStyle w:val="NormalTok"/>
        </w:rPr>
        <w:t xml:space="preserve">ya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yb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n0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50</w:t>
      </w:r>
      <w:r>
        <w:br/>
      </w:r>
      <w:r>
        <w:rPr>
          <w:rStyle w:val="NormalTok"/>
        </w:rPr>
        <w:t xml:space="preserve">exps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(yb))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(n0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(yb))</w:t>
      </w:r>
      <w:r>
        <w:br/>
      </w:r>
      <w:r>
        <w:rPr>
          <w:rStyle w:val="FunctionTok"/>
        </w:rPr>
        <w:t xml:space="preserve">qplot</w:t>
      </w:r>
      <w:r>
        <w:rPr>
          <w:rStyle w:val="NormalTok"/>
        </w:rPr>
        <w:t xml:space="preserve">(n0, exps, </w:t>
      </w:r>
      <w:r>
        <w:rPr>
          <w:rStyle w:val="AttributeTok"/>
        </w:rPr>
        <w:t xml:space="preserve">geom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'point'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'smooth'</w:t>
      </w:r>
      <w:r>
        <w:rPr>
          <w:rStyle w:val="NormalTok"/>
        </w:rPr>
        <w:t xml:space="preserve">))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72" name="Picture"/>
            <a:graphic>
              <a:graphicData uri="http://schemas.openxmlformats.org/drawingml/2006/picture">
                <pic:pic>
                  <pic:nvPicPr>
                    <pic:cNvPr descr="3_files/figure-docx/unnamed-chunk-13-1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Very strong prior beliefs that the expected value of</w:t>
      </w:r>
      <w:r>
        <w:t xml:space="preserve"> </w:t>
      </w:r>
      <m:oMath>
        <m:r>
          <m:t>θ</m:t>
        </m:r>
        <m:r>
          <m:rPr>
            <m:sty m:val="p"/>
          </m:rPr>
          <m:t>≈</m:t>
        </m:r>
        <m:r>
          <m:t>12</m:t>
        </m:r>
      </m:oMath>
      <w:r>
        <w:t xml:space="preserve"> </w:t>
      </w:r>
      <w:r>
        <w:t xml:space="preserve">would be necessary, because</w:t>
      </w:r>
      <w:r>
        <w:t xml:space="preserve"> </w:t>
      </w:r>
      <m:oMath>
        <m:sSub>
          <m:e>
            <m:r>
              <m:t>θ</m:t>
            </m:r>
          </m:e>
          <m:sub>
            <m:r>
              <m:t>M</m:t>
            </m:r>
            <m:r>
              <m:t>L</m:t>
            </m:r>
          </m:sub>
        </m:sSub>
        <m:r>
          <m:rPr>
            <m:sty m:val="p"/>
          </m:rPr>
          <m:t>=</m:t>
        </m:r>
        <m:r>
          <m:t>8.69</m:t>
        </m:r>
      </m:oMath>
      <w:r>
        <w:t xml:space="preserve"> </w:t>
      </w:r>
      <w:r>
        <w:t xml:space="preserve">which is quite low. According</w:t>
      </w:r>
      <w:r>
        <w:t xml:space="preserve"> </w:t>
      </w:r>
      <w:r>
        <w:t xml:space="preserve">to the graph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values of close to 50 are required.</w:t>
      </w:r>
    </w:p>
    <w:bookmarkEnd w:id="74"/>
    <w:bookmarkStart w:id="75" w:name="c-1"/>
    <w:p>
      <w:pPr>
        <w:pStyle w:val="Heading3"/>
      </w:pPr>
      <w:r>
        <w:t xml:space="preserve">4.3.3 c</w:t>
      </w:r>
    </w:p>
    <w:p>
      <w:pPr>
        <w:pStyle w:val="FirstParagraph"/>
      </w:pPr>
      <w:r>
        <w:t xml:space="preserve">We have existing knowledge about population A. Knowing that B is related, we</w:t>
      </w:r>
      <w:r>
        <w:t xml:space="preserve"> </w:t>
      </w:r>
      <w:r>
        <w:t xml:space="preserve">have incorporated these beliefs into our prior on population B. However, nothing</w:t>
      </w:r>
      <w:r>
        <w:t xml:space="preserve"> </w:t>
      </w:r>
      <w:r>
        <w:t xml:space="preserve">more than a weak prior expectation of B to be similar to A should be encoded in</w:t>
      </w:r>
      <w:r>
        <w:t xml:space="preserve"> </w:t>
      </w:r>
      <w:r>
        <w:t xml:space="preserve">our analysis, since it is entirely possible that the parameter of B is quite</w:t>
      </w:r>
      <w:r>
        <w:t xml:space="preserve"> </w:t>
      </w:r>
      <w:r>
        <w:t xml:space="preserve">different from A. So we should view the populations as independent.</w:t>
      </w:r>
    </w:p>
    <w:bookmarkEnd w:id="75"/>
    <w:bookmarkEnd w:id="76"/>
    <w:bookmarkStart w:id="91" w:name="section-3"/>
    <w:p>
      <w:pPr>
        <w:pStyle w:val="Heading2"/>
      </w:pPr>
      <w:r>
        <w:t xml:space="preserve">4.4 3.4</w:t>
      </w:r>
    </w:p>
    <w:bookmarkStart w:id="77" w:name="a-2"/>
    <w:p>
      <w:pPr>
        <w:pStyle w:val="Heading3"/>
      </w:pPr>
      <w:r>
        <w:t xml:space="preserve">4.4.1 a</w:t>
      </w:r>
    </w:p>
    <w:p>
      <w:pPr>
        <w:pStyle w:val="FirstParagraph"/>
      </w:pPr>
      <w:r>
        <w:t xml:space="preserve">This is fairly straightforward like 3.1, skipping</w:t>
      </w:r>
    </w:p>
    <w:bookmarkEnd w:id="77"/>
    <w:bookmarkStart w:id="78" w:name="b-2"/>
    <w:p>
      <w:pPr>
        <w:pStyle w:val="Heading3"/>
      </w:pPr>
      <w:r>
        <w:t xml:space="preserve">4.4.2 b</w:t>
      </w:r>
    </w:p>
    <w:p>
      <w:pPr>
        <w:pStyle w:val="FirstParagraph"/>
      </w:pPr>
      <w:r>
        <w:t xml:space="preserve">This is fairly straightforward like 3.1, skipping</w:t>
      </w:r>
    </w:p>
    <w:bookmarkEnd w:id="78"/>
    <w:bookmarkStart w:id="82" w:name="c-2"/>
    <w:p>
      <w:pPr>
        <w:pStyle w:val="Heading3"/>
      </w:pPr>
      <w:r>
        <w:t xml:space="preserve">4.4.3 c</w:t>
      </w:r>
    </w:p>
    <w:p>
      <w:pPr>
        <w:pStyle w:val="SourceCode"/>
      </w:pPr>
      <w:r>
        <w:rPr>
          <w:rStyle w:val="NormalTok"/>
        </w:rPr>
        <w:t xml:space="preserve">prior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(theta) {</w:t>
      </w:r>
      <w:r>
        <w:br/>
      </w:r>
      <w:r>
        <w:rPr>
          <w:rStyle w:val="NormalTok"/>
        </w:rPr>
        <w:t xml:space="preserve">  (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/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gamma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gamma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gamma</w:t>
      </w:r>
      <w:r>
        <w:rPr>
          <w:rStyle w:val="NormalTok"/>
        </w:rPr>
        <w:t xml:space="preserve">(</w:t>
      </w:r>
      <w:r>
        <w:rPr>
          <w:rStyle w:val="DecValTok"/>
        </w:rPr>
        <w:t xml:space="preserve">8</w:t>
      </w:r>
      <w:r>
        <w:rPr>
          <w:rStyle w:val="NormalTok"/>
        </w:rPr>
        <w:t xml:space="preserve">)))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theta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theta)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theta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theta))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thetas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0.005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qplot</w:t>
      </w:r>
      <w:r>
        <w:rPr>
          <w:rStyle w:val="NormalTok"/>
        </w:rPr>
        <w:t xml:space="preserve">(thetas, </w:t>
      </w:r>
      <w:r>
        <w:rPr>
          <w:rStyle w:val="FunctionTok"/>
        </w:rPr>
        <w:t xml:space="preserve">prior</w:t>
      </w:r>
      <w:r>
        <w:rPr>
          <w:rStyle w:val="NormalTok"/>
        </w:rPr>
        <w:t xml:space="preserve">(thetas), </w:t>
      </w:r>
      <w:r>
        <w:rPr>
          <w:rStyle w:val="AttributeTok"/>
        </w:rPr>
        <w:t xml:space="preserve">geom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'line'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80" name="Picture"/>
            <a:graphic>
              <a:graphicData uri="http://schemas.openxmlformats.org/drawingml/2006/picture">
                <pic:pic>
                  <pic:nvPicPr>
                    <pic:cNvPr descr="3_files/figure-docx/unnamed-chunk-14-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Some kind of bimodal prior on rates of teen recidivism - for example, you</w:t>
      </w:r>
      <w:r>
        <w:t xml:space="preserve"> </w:t>
      </w:r>
      <w:r>
        <w:t xml:space="preserve">believe that in some regions, teen recidivism is rather low, but there are some</w:t>
      </w:r>
      <w:r>
        <w:t xml:space="preserve"> </w:t>
      </w:r>
      <w:r>
        <w:t xml:space="preserve">regions where teen recidivism is high.</w:t>
      </w:r>
    </w:p>
    <w:bookmarkEnd w:id="82"/>
    <w:bookmarkStart w:id="89" w:name="d-1"/>
    <w:p>
      <w:pPr>
        <w:pStyle w:val="Heading3"/>
      </w:pPr>
      <w:r>
        <w:t xml:space="preserve">4.4.4 d</w:t>
      </w:r>
    </w:p>
    <w:bookmarkStart w:id="83" w:name="i"/>
    <w:p>
      <w:pPr>
        <w:pStyle w:val="Heading4"/>
      </w:pPr>
      <w:r>
        <w:t xml:space="preserve">i</w:t>
      </w:r>
    </w:p>
    <w:p>
      <w:pPr>
        <w:pStyle w:val="FirstParagraph"/>
      </w:pPr>
    </w:p>
    <w:bookmarkEnd w:id="83"/>
    <w:bookmarkStart w:id="84" w:name="ii"/>
    <w:p>
      <w:pPr>
        <w:pStyle w:val="Heading4"/>
      </w:pPr>
      <w:r>
        <w:t xml:space="preserve">ii</w:t>
      </w:r>
    </w:p>
    <w:p>
      <w:pPr>
        <w:pStyle w:val="FirstParagraph"/>
      </w:pPr>
      <w:r>
        <w:t xml:space="preserve">This is proportional to some mixture with unknown weights of a</w:t>
      </w:r>
      <w:r>
        <w:t xml:space="preserve"> </w:t>
      </w:r>
      <m:oMath>
        <m:r>
          <m:rPr>
            <m:nor/>
            <m:sty m:val="p"/>
          </m:rPr>
          <m:t>Beta</m:t>
        </m:r>
        <m:d>
          <m:dPr>
            <m:begChr m:val="("/>
            <m:sepChr m:val=""/>
            <m:endChr m:val=")"/>
            <m:grow/>
          </m:dPr>
          <m:e>
            <m:r>
              <m:t>17</m:t>
            </m:r>
            <m:r>
              <m:rPr>
                <m:sty m:val="p"/>
              </m:rPr>
              <m:t>,</m:t>
            </m:r>
            <m:r>
              <m:t>36</m:t>
            </m:r>
          </m:e>
        </m:d>
      </m:oMath>
      <w:r>
        <w:t xml:space="preserve"> </w:t>
      </w:r>
      <w:r>
        <w:t xml:space="preserve">and a</w:t>
      </w:r>
      <w:r>
        <w:t xml:space="preserve"> </w:t>
      </w:r>
      <m:oMath>
        <m:r>
          <m:rPr>
            <m:nor/>
            <m:sty m:val="p"/>
          </m:rPr>
          <m:t>Beta</m:t>
        </m:r>
        <m:d>
          <m:dPr>
            <m:begChr m:val="("/>
            <m:sepChr m:val=""/>
            <m:endChr m:val=")"/>
            <m:grow/>
          </m:dPr>
          <m:e>
            <m:r>
              <m:t>23</m:t>
            </m:r>
            <m:r>
              <m:rPr>
                <m:sty m:val="p"/>
              </m:rPr>
              <m:t>,</m:t>
            </m:r>
            <m:r>
              <m:t>30</m:t>
            </m:r>
          </m:e>
        </m:d>
      </m:oMath>
      <w:r>
        <w:t xml:space="preserve"> </w:t>
      </w:r>
      <w:r>
        <w:t xml:space="preserve">which intuitively are the posterior densities</w:t>
      </w:r>
      <w:r>
        <w:t xml:space="preserve"> </w:t>
      </w:r>
      <w:r>
        <w:t xml:space="preserve">in parts a and b.</w:t>
      </w:r>
    </w:p>
    <w:bookmarkEnd w:id="84"/>
    <w:bookmarkStart w:id="88" w:name="iii"/>
    <w:p>
      <w:pPr>
        <w:pStyle w:val="Heading4"/>
      </w:pPr>
      <w:r>
        <w:t xml:space="preserve">iii</w:t>
      </w:r>
    </w:p>
    <w:p>
      <w:pPr>
        <w:pStyle w:val="SourceCode"/>
      </w:pPr>
      <w:r>
        <w:rPr>
          <w:rStyle w:val="NormalTok"/>
        </w:rPr>
        <w:t xml:space="preserve">posterior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(theta)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prior</w:t>
      </w:r>
      <w:r>
        <w:rPr>
          <w:rStyle w:val="NormalTok"/>
        </w:rPr>
        <w:t xml:space="preserve">(theta)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choose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theta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theta)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28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FunctionTok"/>
        </w:rPr>
        <w:t xml:space="preserve">qplot</w:t>
      </w:r>
      <w:r>
        <w:rPr>
          <w:rStyle w:val="NormalTok"/>
        </w:rPr>
        <w:t xml:space="preserve">(thetas, </w:t>
      </w:r>
      <w:r>
        <w:rPr>
          <w:rStyle w:val="FunctionTok"/>
        </w:rPr>
        <w:t xml:space="preserve">posterior</w:t>
      </w:r>
      <w:r>
        <w:rPr>
          <w:rStyle w:val="NormalTok"/>
        </w:rPr>
        <w:t xml:space="preserve">(thetas), </w:t>
      </w:r>
      <w:r>
        <w:rPr>
          <w:rStyle w:val="AttributeTok"/>
        </w:rPr>
        <w:t xml:space="preserve">geom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'line'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3_files/figure-docx/unnamed-chunk-15-1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rPr>
          <w:rStyle w:val="FunctionTok"/>
        </w:rPr>
        <w:t xml:space="preserve">cat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"Mode:"</w:t>
      </w:r>
      <w:r>
        <w:rPr>
          <w:rStyle w:val="NormalTok"/>
        </w:rPr>
        <w:t xml:space="preserve">, thetas[</w:t>
      </w:r>
      <w:r>
        <w:rPr>
          <w:rStyle w:val="FunctionTok"/>
        </w:rPr>
        <w:t xml:space="preserve">which.max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posterior</w:t>
      </w:r>
      <w:r>
        <w:rPr>
          <w:rStyle w:val="NormalTok"/>
        </w:rPr>
        <w:t xml:space="preserve">(thetas))],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Mode: 0.315</w:t>
      </w:r>
    </w:p>
    <w:p>
      <w:pPr>
        <w:pStyle w:val="FirstParagraph"/>
      </w:pPr>
      <w:r>
        <w:t xml:space="preserve">Notice that</w:t>
      </w:r>
    </w:p>
    <w:p>
      <w:pPr>
        <w:pStyle w:val="BodyText"/>
      </w:pPr>
    </w:p>
    <w:p>
      <w:pPr>
        <w:pStyle w:val="BodyText"/>
      </w:pPr>
      <w:r>
        <w:t xml:space="preserve">So the mode is between these two modes, although closer to that of the</w:t>
      </w:r>
      <w:r>
        <w:t xml:space="preserve"> </w:t>
      </w:r>
      <m:oMath>
        <m:r>
          <m:rPr>
            <m:nor/>
            <m:sty m:val="p"/>
          </m:rPr>
          <m:t>Beta</m:t>
        </m:r>
        <m:d>
          <m:dPr>
            <m:begChr m:val="("/>
            <m:sepChr m:val=""/>
            <m:endChr m:val=")"/>
            <m:grow/>
          </m:dPr>
          <m:e>
            <m:r>
              <m:t>17</m:t>
            </m:r>
            <m:r>
              <m:rPr>
                <m:sty m:val="p"/>
              </m:rPr>
              <m:t>,</m:t>
            </m:r>
            <m:r>
              <m:t>36</m:t>
            </m:r>
          </m:e>
        </m:d>
      </m:oMath>
      <w:r>
        <w:t xml:space="preserve">.</w:t>
      </w:r>
    </w:p>
    <w:bookmarkEnd w:id="88"/>
    <w:bookmarkEnd w:id="89"/>
    <w:bookmarkStart w:id="90" w:name="e-1"/>
    <w:p>
      <w:pPr>
        <w:pStyle w:val="Heading3"/>
      </w:pPr>
      <w:r>
        <w:t xml:space="preserve">4.4.5 e</w:t>
      </w:r>
    </w:p>
    <w:p>
      <w:pPr>
        <w:pStyle w:val="FirstParagraph"/>
      </w:pPr>
      <w:r>
        <w:t xml:space="preserve">Unclear: general formula for any beta mixture with any weights and parameters?</w:t>
      </w:r>
      <w:r>
        <w:t xml:space="preserve"> </w:t>
      </w:r>
      <w:r>
        <w:t xml:space="preserve">Or general formula for any observed result for this model, given then prior in</w:t>
      </w:r>
      <w:r>
        <w:t xml:space="preserve"> </w:t>
      </w:r>
      <w:r>
        <w:t xml:space="preserve">c)?</w:t>
      </w:r>
    </w:p>
    <w:bookmarkEnd w:id="90"/>
    <w:bookmarkEnd w:id="91"/>
    <w:bookmarkStart w:id="94" w:name="section-4"/>
    <w:p>
      <w:pPr>
        <w:pStyle w:val="Heading2"/>
      </w:pPr>
      <w:r>
        <w:t xml:space="preserve">4.5 3.5</w:t>
      </w:r>
    </w:p>
    <w:bookmarkStart w:id="92" w:name="a-3"/>
    <w:p>
      <w:pPr>
        <w:pStyle w:val="Heading3"/>
      </w:pPr>
      <w:r>
        <w:t xml:space="preserve">4.5.1 a</w:t>
      </w:r>
    </w:p>
    <w:p>
      <w:pPr>
        <w:pStyle w:val="FirstParagraph"/>
      </w:pPr>
      <w:r>
        <w:t xml:space="preserve">First,</w:t>
      </w:r>
    </w:p>
    <w:p>
      <w:pPr>
        <w:pStyle w:val="BodyText"/>
      </w:pPr>
    </w:p>
    <w:p>
      <w:pPr>
        <w:pStyle w:val="BodyText"/>
      </w:pPr>
      <w:r>
        <w:t xml:space="preserve">Now</w:t>
      </w:r>
    </w:p>
    <w:p>
      <w:pPr>
        <w:pStyle w:val="BodyText"/>
      </w:pPr>
    </w:p>
    <w:p>
      <w:pPr>
        <w:pStyle w:val="BodyText"/>
      </w:pPr>
      <w:r>
        <w:t xml:space="preserve">So the posterior is another weighted mixture. However, the</w:t>
      </w:r>
      <w:r>
        <w:t xml:space="preserve"> </w:t>
      </w:r>
      <w:r>
        <w:t xml:space="preserve">weights of the relative components are not preserved (neither are they in the Beta mixtures</w:t>
      </w:r>
      <w:r>
        <w:t xml:space="preserve"> </w:t>
      </w:r>
      <w:r>
        <w:t xml:space="preserve">above).</w:t>
      </w:r>
    </w:p>
    <w:bookmarkEnd w:id="92"/>
    <w:bookmarkStart w:id="93" w:name="b-3"/>
    <w:p>
      <w:pPr>
        <w:pStyle w:val="Heading3"/>
      </w:pPr>
      <w:r>
        <w:t xml:space="preserve">4.5.2 b</w:t>
      </w:r>
    </w:p>
    <w:p>
      <w:pPr>
        <w:pStyle w:val="FirstParagraph"/>
      </w:pPr>
      <w:r>
        <w:t xml:space="preserve">Not specified whether the exponential family parameterization or</w:t>
      </w:r>
      <w:r>
        <w:t xml:space="preserve"> </w:t>
      </w:r>
      <w:r>
        <w:t xml:space="preserve">the standard parameterization should be used. The standard parameterization will be used.</w:t>
      </w:r>
    </w:p>
    <w:p>
      <w:pPr>
        <w:pStyle w:val="BodyText"/>
      </w:pPr>
      <w:r>
        <w:t xml:space="preserve">Let</w:t>
      </w:r>
      <w:r>
        <w:t xml:space="preserve"> </w:t>
      </w:r>
    </w:p>
    <w:p>
      <w:pPr>
        <w:pStyle w:val="BodyText"/>
      </w:pPr>
      <w:r>
        <w:t xml:space="preserve">Then</w:t>
      </w:r>
      <w:r>
        <w:t xml:space="preserve"> </w:t>
      </w:r>
    </w:p>
    <w:bookmarkEnd w:id="93"/>
    <w:bookmarkEnd w:id="94"/>
    <w:bookmarkStart w:id="103" w:name="section-5"/>
    <w:p>
      <w:pPr>
        <w:pStyle w:val="Heading2"/>
      </w:pPr>
      <w:r>
        <w:t xml:space="preserve">4.6 3.9</w:t>
      </w:r>
    </w:p>
    <w:bookmarkStart w:id="98" w:name="a-4"/>
    <w:p>
      <w:pPr>
        <w:pStyle w:val="Heading3"/>
      </w:pPr>
      <w:r>
        <w:t xml:space="preserve">4.6.1 a</w:t>
      </w:r>
    </w:p>
    <w:p>
      <w:pPr>
        <w:pStyle w:val="FirstParagraph"/>
      </w:pPr>
      <w:r>
        <w:t xml:space="preserve">We take advantage of the fact that the Galenshore distribution can be viewed as</w:t>
      </w:r>
      <w:r>
        <w:t xml:space="preserve"> </w:t>
      </w:r>
      <w:r>
        <w:t xml:space="preserve">an exponential model</w:t>
      </w:r>
    </w:p>
    <w:p>
      <w:pPr>
        <w:pStyle w:val="BodyText"/>
      </w:pPr>
    </w:p>
    <w:p>
      <w:pPr>
        <w:pStyle w:val="BodyText"/>
      </w:pPr>
      <w:r>
        <w:t xml:space="preserve">Where</w:t>
      </w:r>
    </w:p>
    <w:p>
      <w:pPr>
        <w:pStyle w:val="Compact"/>
        <w:numPr>
          <w:ilvl w:val="0"/>
          <w:numId w:val="1008"/>
        </w:numPr>
      </w:pPr>
      <m:oMath>
        <m:r>
          <m:t>h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Γ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a</m:t>
                </m:r>
              </m:e>
            </m:d>
          </m:den>
        </m:f>
        <m:sSup>
          <m:e>
            <m:r>
              <m:t>y</m:t>
            </m:r>
          </m:e>
          <m:sup>
            <m:r>
              <m:t>2</m:t>
            </m:r>
            <m:r>
              <m:t>a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</w:p>
    <w:p>
      <w:pPr>
        <w:pStyle w:val="Compact"/>
        <w:numPr>
          <w:ilvl w:val="0"/>
          <w:numId w:val="1008"/>
        </w:numPr>
      </w:pPr>
      <m:oMath>
        <m:r>
          <m:t>c</m:t>
        </m:r>
        <m:d>
          <m:dPr>
            <m:begChr m:val="("/>
            <m:sepChr m:val=""/>
            <m:endChr m:val=")"/>
            <m:grow/>
          </m:dPr>
          <m:e>
            <m:r>
              <m:t>ϕ</m:t>
            </m:r>
          </m:e>
        </m:d>
        <m:r>
          <m:rPr>
            <m:sty m:val="p"/>
          </m:rPr>
          <m:t>=</m:t>
        </m:r>
        <m:sSup>
          <m:e>
            <m:r>
              <m:t>ϕ</m:t>
            </m:r>
          </m:e>
          <m:sup>
            <m:r>
              <m:t>a</m:t>
            </m:r>
          </m:sup>
        </m:sSup>
      </m:oMath>
    </w:p>
    <w:p>
      <w:pPr>
        <w:pStyle w:val="Compact"/>
        <w:numPr>
          <w:ilvl w:val="0"/>
          <w:numId w:val="1008"/>
        </w:numPr>
      </w:pPr>
      <m:oMath>
        <m:r>
          <m:t>t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</m:e>
        </m:d>
      </m:oMath>
    </w:p>
    <w:p>
      <w:pPr>
        <w:pStyle w:val="Compact"/>
        <w:numPr>
          <w:ilvl w:val="0"/>
          <w:numId w:val="1008"/>
        </w:numPr>
      </w:pPr>
      <m:oMath>
        <m:r>
          <m:t>ϕ</m:t>
        </m:r>
        <m:r>
          <m:rPr>
            <m:sty m:val="p"/>
          </m:rPr>
          <m:t>=</m:t>
        </m:r>
        <m:sSup>
          <m:e>
            <m:r>
              <m:t>θ</m:t>
            </m:r>
          </m:e>
          <m:sup>
            <m:r>
              <m:t>2</m:t>
            </m:r>
          </m:sup>
        </m:sSup>
      </m:oMath>
    </w:p>
    <w:p>
      <w:pPr>
        <w:pStyle w:val="FirstParagraph"/>
      </w:pPr>
      <w:r>
        <w:t xml:space="preserve">Then, the conjugate priors for the</w:t>
      </w:r>
      <w:r>
        <w:t xml:space="preserve"> </w:t>
      </w:r>
      <m:oMath>
        <m:r>
          <m:t>ϕ</m:t>
        </m:r>
      </m:oMath>
      <w:r>
        <w:t xml:space="preserve"> </w:t>
      </w:r>
      <w:r>
        <w:t xml:space="preserve">parameterization are given by</w:t>
      </w:r>
    </w:p>
    <w:p>
      <w:pPr>
        <w:pStyle w:val="BodyText"/>
      </w:pPr>
    </w:p>
    <w:p>
      <w:pPr>
        <w:pStyle w:val="BodyText"/>
      </w:pPr>
      <w:r>
        <w:t xml:space="preserve">To obtain the priors for</w:t>
      </w:r>
      <w:r>
        <w:t xml:space="preserve"> </w:t>
      </w:r>
      <m:oMath>
        <m:r>
          <m:t>θ</m:t>
        </m:r>
      </m:oMath>
      <w:r>
        <w:t xml:space="preserve">, let</w:t>
      </w:r>
      <w:r>
        <w:t xml:space="preserve"> </w:t>
      </w:r>
      <m:oMath>
        <m:r>
          <m:t>θ</m:t>
        </m:r>
        <m:r>
          <m:rPr>
            <m:sty m:val="p"/>
          </m:rPr>
          <m:t>=</m:t>
        </m:r>
        <m:r>
          <m:t>g</m:t>
        </m:r>
        <m:d>
          <m:dPr>
            <m:begChr m:val="("/>
            <m:sepChr m:val=""/>
            <m:endChr m:val=")"/>
            <m:grow/>
          </m:dPr>
          <m:e>
            <m:r>
              <m:t>ϕ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ϕ</m:t>
            </m:r>
          </m:e>
        </m:rad>
      </m:oMath>
      <w:r>
        <w:t xml:space="preserve"> </w:t>
      </w:r>
      <w:r>
        <w:t xml:space="preserve">and</w:t>
      </w:r>
      <w:r>
        <w:t xml:space="preserve"> </w:t>
      </w:r>
      <m:oMath>
        <m:r>
          <m:t>ϕ</m:t>
        </m:r>
        <m:r>
          <m:rPr>
            <m:sty m:val="p"/>
          </m:rPr>
          <m:t>=</m:t>
        </m:r>
        <m:r>
          <m:t>h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</m:e>
        </m:d>
        <m:r>
          <m:rPr>
            <m:sty m:val="p"/>
          </m:rPr>
          <m:t>=</m:t>
        </m:r>
        <m:sSup>
          <m:e>
            <m:r>
              <m:t>θ</m:t>
            </m:r>
          </m:e>
          <m:sup>
            <m:r>
              <m:t>2</m:t>
            </m:r>
          </m:sup>
        </m:sSup>
      </m:oMath>
      <w:r>
        <w:t xml:space="preserve">. Notice</w:t>
      </w:r>
      <w:r>
        <w:t xml:space="preserve"> </w:t>
      </w:r>
      <m:oMath>
        <m:r>
          <m:t>d</m:t>
        </m:r>
        <m:r>
          <m:t>h</m:t>
        </m:r>
        <m:r>
          <m:rPr>
            <m:sty m:val="p"/>
          </m:rPr>
          <m:t>/</m:t>
        </m:r>
        <m:r>
          <m:t>d</m:t>
        </m:r>
        <m:r>
          <m:t>θ</m:t>
        </m:r>
        <m:r>
          <m:rPr>
            <m:sty m:val="p"/>
          </m:rPr>
          <m:t>=</m:t>
        </m:r>
        <m:r>
          <m:t>2</m:t>
        </m:r>
        <m:r>
          <m:t>θ</m:t>
        </m:r>
      </m:oMath>
      <w:r>
        <w:t xml:space="preserve">. By the change of</w:t>
      </w:r>
      <w:r>
        <w:t xml:space="preserve"> </w:t>
      </w:r>
      <w:r>
        <w:t xml:space="preserve">variables formula,</w:t>
      </w:r>
    </w:p>
    <w:p>
      <w:pPr>
        <w:pStyle w:val="BodyText"/>
      </w:pPr>
    </w:p>
    <w:p>
      <w:pPr>
        <w:pStyle w:val="BodyText"/>
      </w:pPr>
      <w:r>
        <w:t xml:space="preserve">Notice this is true since</w:t>
      </w:r>
      <w:r>
        <w:t xml:space="preserve"> </w:t>
      </w:r>
      <m:oMath>
        <m:r>
          <m:rPr>
            <m:nor/>
            <m:sty m:val="p"/>
          </m:rPr>
          <m:t>dgalenshore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,</m:t>
            </m:r>
            <m:r>
              <m:t>θ</m:t>
            </m:r>
          </m:e>
        </m:d>
        <m:r>
          <m:rPr>
            <m:sty m:val="p"/>
          </m:rPr>
          <m:t>∝</m:t>
        </m:r>
        <m:sSup>
          <m:e>
            <m:r>
              <m:t>y</m:t>
            </m:r>
          </m:e>
          <m:sup>
            <m:r>
              <m:t>2</m:t>
            </m:r>
            <m:r>
              <m:t>a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θ</m:t>
                </m:r>
              </m:e>
              <m:sup>
                <m:r>
                  <m:t>2</m:t>
                </m:r>
              </m:sup>
            </m:sSup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 </w:t>
      </w:r>
      <w:r>
        <w:t xml:space="preserve">- the rest of the PDF is a constant that doesn’t depend on</w:t>
      </w:r>
      <w:r>
        <w:t xml:space="preserve"> </w:t>
      </w:r>
      <m:oMath>
        <m:r>
          <m:t>y</m:t>
        </m:r>
      </m:oMath>
      <w:r>
        <w:t xml:space="preserve">. Also notice that</w:t>
      </w:r>
      <w:r>
        <w:t xml:space="preserve"> </w:t>
      </w:r>
      <m:oMath>
        <m:rad>
          <m:radPr>
            <m:degHide m:val="on"/>
          </m:radPr>
          <m:deg/>
          <m:e>
            <m:r>
              <m:rPr>
                <m:sty m:val="p"/>
              </m:rPr>
              <m:t>−</m:t>
            </m:r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  <m:sSub>
              <m:e>
                <m:r>
                  <m:t>t</m:t>
                </m:r>
              </m:e>
              <m:sub>
                <m:r>
                  <m:t>0</m:t>
                </m:r>
              </m:sub>
            </m:sSub>
          </m:e>
        </m:rad>
      </m:oMath>
      <w:r>
        <w:t xml:space="preserve"> </w:t>
      </w:r>
      <w:r>
        <w:t xml:space="preserve">is defined since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t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w:r>
        <w:t xml:space="preserve">the initial</w:t>
      </w:r>
      <w:r>
        <w:t xml:space="preserve"> </w:t>
      </w:r>
      <w:r>
        <w:t xml:space="preserve">“guess”</w:t>
      </w:r>
      <w:r>
        <w:t xml:space="preserve"> </w:t>
      </w:r>
      <w:r>
        <w:t xml:space="preserve">of</w:t>
      </w:r>
      <w:r>
        <w:t xml:space="preserve"> </w:t>
      </w:r>
      <m:oMath>
        <m:r>
          <m:t>t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&lt;</m:t>
        </m:r>
        <m:r>
          <m:t>0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−</m:t>
        </m:r>
        <m:sSub>
          <m:e>
            <m:r>
              <m:t>n</m:t>
            </m:r>
          </m:e>
          <m:sub>
            <m:r>
              <m:t>0</m:t>
            </m:r>
          </m:sub>
        </m:sSub>
        <m:sSub>
          <m:e>
            <m:r>
              <m:t>t</m:t>
            </m:r>
          </m:e>
          <m:sub>
            <m:r>
              <m:t>0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SourceCode"/>
      </w:pPr>
      <w:r>
        <w:rPr>
          <w:rStyle w:val="NormalTok"/>
        </w:rPr>
        <w:t xml:space="preserve">dgalenshore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(y, a, theta) {</w:t>
      </w:r>
      <w:r>
        <w:br/>
      </w:r>
      <w:r>
        <w:rPr>
          <w:rStyle w:val="NormalTok"/>
        </w:rPr>
        <w:t xml:space="preserve"> 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gamma</w:t>
      </w:r>
      <w:r>
        <w:rPr>
          <w:rStyle w:val="NormalTok"/>
        </w:rPr>
        <w:t xml:space="preserve">(a))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theta</w:t>
      </w:r>
      <w:r>
        <w:rPr>
          <w:rStyle w:val="SpecialCharTok"/>
        </w:rPr>
        <w:t xml:space="preserve">^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a)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y</w:t>
      </w:r>
      <w:r>
        <w:rPr>
          <w:rStyle w:val="SpecialCharTok"/>
        </w:rPr>
        <w:t xml:space="preserve">^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a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(theta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y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y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df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y, </w:t>
      </w:r>
      <w:r>
        <w:rPr>
          <w:rStyle w:val="AttributeTok"/>
        </w:rPr>
        <w:t xml:space="preserve">density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dgalenshore</w:t>
      </w:r>
      <w:r>
        <w:rPr>
          <w:rStyle w:val="NormalTok"/>
        </w:rPr>
        <w:t xml:space="preserve">(y,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dist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'alpha = 1, theta = 1'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y, </w:t>
      </w:r>
      <w:r>
        <w:rPr>
          <w:rStyle w:val="AttributeTok"/>
        </w:rPr>
        <w:t xml:space="preserve">density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dgalenshore</w:t>
      </w:r>
      <w:r>
        <w:rPr>
          <w:rStyle w:val="NormalTok"/>
        </w:rPr>
        <w:t xml:space="preserve">(y,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dist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'alpha = 1, theta = 3'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y, </w:t>
      </w:r>
      <w:r>
        <w:rPr>
          <w:rStyle w:val="AttributeTok"/>
        </w:rPr>
        <w:t xml:space="preserve">density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dgalenshore</w:t>
      </w:r>
      <w:r>
        <w:rPr>
          <w:rStyle w:val="NormalTok"/>
        </w:rPr>
        <w:t xml:space="preserve">(y,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dist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'alpha = 3, theta = 1'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y, </w:t>
      </w:r>
      <w:r>
        <w:rPr>
          <w:rStyle w:val="AttributeTok"/>
        </w:rPr>
        <w:t xml:space="preserve">density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dgalenshore</w:t>
      </w:r>
      <w:r>
        <w:rPr>
          <w:rStyle w:val="NormalTok"/>
        </w:rPr>
        <w:t xml:space="preserve">(y,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dist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'alpha = 4, theta = 2'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(df,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y,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density, </w:t>
      </w:r>
      <w:r>
        <w:rPr>
          <w:rStyle w:val="AttributeTok"/>
        </w:rPr>
        <w:t xml:space="preserve">group =</w:t>
      </w:r>
      <w:r>
        <w:rPr>
          <w:rStyle w:val="NormalTok"/>
        </w:rPr>
        <w:t xml:space="preserve"> dist,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dist))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96" name="Picture"/>
            <a:graphic>
              <a:graphicData uri="http://schemas.openxmlformats.org/drawingml/2006/picture">
                <pic:pic>
                  <pic:nvPicPr>
                    <pic:cNvPr descr="3_files/figure-docx/unnamed-chunk-16-1.png" id="97" name="Picture"/>
                    <pic:cNvPicPr>
                      <a:picLocks noChangeArrowheads="1"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8"/>
    <w:bookmarkStart w:id="99" w:name="b-4"/>
    <w:p>
      <w:pPr>
        <w:pStyle w:val="Heading3"/>
      </w:pPr>
      <w:r>
        <w:t xml:space="preserve">4.6.2 b</w:t>
      </w:r>
    </w:p>
    <w:p>
      <w:pPr>
        <w:pStyle w:val="FirstParagraph"/>
      </w:pPr>
      <w:r>
        <w:t xml:space="preserve">Since this is an exponential family, the posterior of</w:t>
      </w:r>
      <w:r>
        <w:t xml:space="preserve"> </w:t>
      </w:r>
      <m:oMath>
        <m:r>
          <m:t>ϕ</m:t>
        </m:r>
      </m:oMath>
      <w:r>
        <w:t xml:space="preserve"> </w:t>
      </w:r>
      <w:r>
        <w:t xml:space="preserve">is given by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ϕ</m:t>
            </m:r>
            <m:r>
              <m:rPr>
                <m:sty m:val="p"/>
              </m:rPr>
              <m:t>∣</m:t>
            </m:r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n</m:t>
            </m:r>
            <m:r>
              <m:rPr>
                <m:sty m:val="p"/>
              </m:rPr>
              <m:t>,</m:t>
            </m:r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  <m:sSub>
              <m:e>
                <m:r>
                  <m:t>t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n</m:t>
            </m:r>
            <m:acc>
              <m:accPr>
                <m:chr m:val="‾"/>
              </m:accPr>
              <m:e>
                <m:r>
                  <m:t>t</m:t>
                </m:r>
              </m:e>
            </m:acc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b"/>
                  </m:rPr>
                  <m:t>y</m:t>
                </m:r>
              </m:e>
            </m:d>
          </m:e>
        </m:d>
      </m:oMath>
      <w:r>
        <w:t xml:space="preserve">. This means that</w:t>
      </w:r>
    </w:p>
    <w:p>
      <w:pPr>
        <w:pStyle w:val="BodyText"/>
      </w:pPr>
    </w:p>
    <w:bookmarkEnd w:id="99"/>
    <w:bookmarkStart w:id="100" w:name="c-3"/>
    <w:p>
      <w:pPr>
        <w:pStyle w:val="Heading3"/>
      </w:pPr>
      <w:r>
        <w:t xml:space="preserve">4.6.3 c</w:t>
      </w:r>
    </w:p>
    <w:p>
      <w:pPr>
        <w:pStyle w:val="FirstParagraph"/>
      </w:pPr>
      <w:r>
        <w:t xml:space="preserve">By taking advantage of the exponential family we already know</w:t>
      </w:r>
      <w:r>
        <w:t xml:space="preserve"> </w:t>
      </w:r>
      <m:oMath>
        <m:r>
          <m:t>t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 </w:t>
      </w:r>
      <w:r>
        <w:t xml:space="preserve">is our sufficient statistic.</w:t>
      </w:r>
      <w:r>
        <w:t xml:space="preserve"> </w:t>
      </w:r>
      <w:r>
        <w:t xml:space="preserve">Specifically when comparing multiple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, we have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rPr>
                <m:sty m:val="p"/>
              </m:rPr>
              <m:t>−</m:t>
            </m:r>
          </m:e>
        </m:nary>
        <m:d>
          <m:dPr>
            <m:begChr m:val="("/>
            <m:sepChr m:val=""/>
            <m:endChr m:val=")"/>
            <m:grow/>
          </m:dPr>
          <m:e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 </w:t>
      </w:r>
      <w:r>
        <w:t xml:space="preserve">as our sufficient statistic.</w:t>
      </w:r>
    </w:p>
    <w:p>
      <w:pPr>
        <w:pStyle w:val="BodyText"/>
      </w:pPr>
      <w:r>
        <w:t xml:space="preserve">Note it was a technicality that</w:t>
      </w:r>
      <w:r>
        <w:t xml:space="preserve"> </w:t>
      </w:r>
      <m:oMath>
        <m:r>
          <m:t>t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 </w:t>
      </w:r>
      <w:r>
        <w:t xml:space="preserve">was chosen. The exponential family</w:t>
      </w:r>
      <w:r>
        <w:t xml:space="preserve"> </w:t>
      </w:r>
      <w:r>
        <w:t xml:space="preserve">could have been parameterized such that</w:t>
      </w:r>
      <w:r>
        <w:t xml:space="preserve"> </w:t>
      </w:r>
      <m:oMath>
        <m:r>
          <m:t>t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2</m:t>
            </m:r>
          </m:sup>
        </m:sSup>
      </m:oMath>
      <w:r>
        <w:t xml:space="preserve">, and the negative is</w:t>
      </w:r>
      <w:r>
        <w:t xml:space="preserve"> </w:t>
      </w:r>
      <w:r>
        <w:t xml:space="preserve">distributed in the other functions. Also notice that since</w:t>
      </w:r>
      <w:r>
        <w:t xml:space="preserve"> </w:t>
      </w:r>
      <m:oMath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the</w:t>
      </w:r>
      <w:r>
        <w:t xml:space="preserve"> </w:t>
      </w:r>
      <m:oMath>
        <m:r>
          <m:t>t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</m:oMath>
      <w:r>
        <w:t xml:space="preserve">s provide the same information.</w:t>
      </w:r>
    </w:p>
    <w:bookmarkEnd w:id="100"/>
    <w:bookmarkStart w:id="101" w:name="d-2"/>
    <w:p>
      <w:pPr>
        <w:pStyle w:val="Heading3"/>
      </w:pPr>
      <w:r>
        <w:t xml:space="preserve">4.6.4 d</w:t>
      </w:r>
    </w:p>
    <w:p>
      <w:pPr>
        <w:pStyle w:val="FirstParagraph"/>
      </w:pPr>
      <w:r>
        <w:t xml:space="preserve">From the formula for the expectation of a Galenshore distribution, if we have</w:t>
      </w:r>
    </w:p>
    <w:p>
      <w:pPr>
        <w:pStyle w:val="BodyText"/>
      </w:pPr>
      <m:oMathPara>
        <m:oMathParaPr>
          <m:jc m:val="center"/>
        </m:oMathParaPr>
        <m:oMath>
          <m:r>
            <m:t>θ</m:t>
          </m:r>
          <m:r>
            <m:rPr>
              <m:sty m:val="p"/>
            </m:rPr>
            <m:t>∣</m:t>
          </m:r>
          <m:sSub>
            <m:e>
              <m:r>
                <m:t>y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y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∼</m:t>
          </m:r>
          <m:r>
            <m:rPr>
              <m:nor/>
              <m:sty m:val="p"/>
            </m:rPr>
            <m:t>Galenshore</m:t>
          </m:r>
          <m:d>
            <m:dPr>
              <m:begChr m:val="("/>
              <m:sepChr m:val=""/>
              <m:endChr m:val=")"/>
              <m:grow/>
            </m:dPr>
            <m:e>
              <m:r>
                <m:t>a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n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n</m:t>
                  </m:r>
                </m:e>
              </m:d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,</m:t>
              </m:r>
              <m:rad>
                <m:radPr>
                  <m:degHide m:val="on"/>
                </m:radPr>
                <m:deg/>
                <m:e>
                  <m:r>
                    <m:rPr>
                      <m:sty m:val="p"/>
                    </m:rPr>
                    <m:t>−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r>
                        <m:t>n</m:t>
                      </m:r>
                    </m:e>
                  </m:d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sSub>
                        <m:e>
                          <m:r>
                            <m:t>t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r>
                        <m:t>n</m:t>
                      </m:r>
                      <m:acc>
                        <m:accPr>
                          <m:chr m:val="‾"/>
                        </m:accPr>
                        <m:e>
                          <m:r>
                            <m:t>t</m:t>
                          </m:r>
                        </m:e>
                      </m:acc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rPr>
                              <m:sty m:val="b"/>
                            </m:rPr>
                            <m:t>y</m:t>
                          </m:r>
                        </m:e>
                      </m:d>
                    </m:e>
                  </m:d>
                </m:e>
              </m:rad>
            </m:e>
          </m:d>
        </m:oMath>
      </m:oMathPara>
    </w:p>
    <w:p>
      <w:pPr>
        <w:pStyle w:val="FirstParagraph"/>
      </w:pPr>
      <w:r>
        <w:t xml:space="preserve">then</w:t>
      </w:r>
    </w:p>
    <w:p>
      <w:pPr>
        <w:pStyle w:val="BodyText"/>
      </w:pPr>
    </w:p>
    <w:bookmarkEnd w:id="101"/>
    <w:bookmarkStart w:id="102" w:name="e-2"/>
    <w:p>
      <w:pPr>
        <w:pStyle w:val="Heading3"/>
      </w:pPr>
      <w:r>
        <w:t xml:space="preserve">4.6.5 e</w:t>
      </w:r>
    </w:p>
    <w:p>
      <w:pPr>
        <w:pStyle w:val="FirstParagraph"/>
      </w:pPr>
      <w:r>
        <w:t xml:space="preserve">This one looks tedious…</w:t>
      </w:r>
    </w:p>
    <w:bookmarkEnd w:id="102"/>
    <w:bookmarkEnd w:id="103"/>
    <w:bookmarkStart w:id="112" w:name="section-6"/>
    <w:p>
      <w:pPr>
        <w:pStyle w:val="Heading2"/>
      </w:pPr>
      <w:r>
        <w:t xml:space="preserve">4.7 3.10</w:t>
      </w:r>
    </w:p>
    <w:p>
      <w:pPr>
        <w:pStyle w:val="FirstParagraph"/>
      </w:pPr>
      <w:r>
        <w:t xml:space="preserve">Change of variables</w:t>
      </w:r>
    </w:p>
    <w:bookmarkStart w:id="107" w:name="a-5"/>
    <w:p>
      <w:pPr>
        <w:pStyle w:val="Heading3"/>
      </w:pPr>
      <w:r>
        <w:t xml:space="preserve">4.7.1 a</w:t>
      </w:r>
    </w:p>
    <w:p>
      <w:pPr>
        <w:pStyle w:val="FirstParagraph"/>
      </w:pPr>
      <w:r>
        <w:t xml:space="preserve">If</w:t>
      </w:r>
      <w:r>
        <w:t xml:space="preserve"> </w:t>
      </w:r>
      <m:oMath>
        <m:r>
          <m:t>ψ</m:t>
        </m:r>
        <m:r>
          <m:rPr>
            <m:sty m:val="p"/>
          </m:rPr>
          <m:t>=</m:t>
        </m:r>
        <m:r>
          <m:t>g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</m:e>
        </m:d>
        <m:r>
          <m:rPr>
            <m:sty m:val="p"/>
          </m:rPr>
          <m:t>=</m:t>
        </m:r>
        <m:r>
          <m:rPr>
            <m:sty m:val="p"/>
          </m:rPr>
          <m:t>log</m:t>
        </m:r>
        <m:f>
          <m:fPr>
            <m:type m:val="bar"/>
          </m:fPr>
          <m:num>
            <m:r>
              <m:t>θ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θ</m:t>
            </m:r>
          </m:den>
        </m:f>
      </m:oMath>
      <w:r>
        <w:t xml:space="preserve">, then</w:t>
      </w:r>
      <w:r>
        <w:t xml:space="preserve"> </w:t>
      </w:r>
      <w:r>
        <w:t xml:space="preserve">let</w:t>
      </w:r>
      <w:r>
        <w:t xml:space="preserve"> </w:t>
      </w:r>
      <m:oMath>
        <m:r>
          <m:t>θ</m:t>
        </m:r>
        <m:r>
          <m:rPr>
            <m:sty m:val="p"/>
          </m:rPr>
          <m:t>=</m:t>
        </m:r>
        <m:r>
          <m:t>h</m:t>
        </m:r>
        <m:d>
          <m:dPr>
            <m:begChr m:val="("/>
            <m:sepChr m:val=""/>
            <m:endChr m:val=")"/>
            <m:grow/>
          </m:dPr>
          <m:e>
            <m:r>
              <m:t>ψ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ψ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t>ψ</m:t>
                </m:r>
              </m:sup>
            </m:sSup>
          </m:den>
        </m:f>
      </m:oMath>
      <w:r>
        <w:t xml:space="preserve">. Then, by the change of</w:t>
      </w:r>
      <w:r>
        <w:t xml:space="preserve"> </w:t>
      </w:r>
      <w:r>
        <w:t xml:space="preserve">variables formula,</w:t>
      </w:r>
    </w:p>
    <w:p>
      <w:pPr>
        <w:pStyle w:val="BodyText"/>
      </w:pPr>
    </w:p>
    <w:p>
      <w:pPr>
        <w:pStyle w:val="SourceCode"/>
      </w:pPr>
      <w:r>
        <w:rPr>
          <w:rStyle w:val="NormalTok"/>
        </w:rPr>
        <w:t xml:space="preserve">h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(psi)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(psi)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(psi)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dh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(psi)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(psi)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(psi)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dpsi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(psi, a, b) {</w:t>
      </w:r>
      <w:r>
        <w:br/>
      </w:r>
      <w:r>
        <w:rPr>
          <w:rStyle w:val="NormalTok"/>
        </w:rPr>
        <w:t xml:space="preserve">  (</w:t>
      </w:r>
      <w:r>
        <w:rPr>
          <w:rStyle w:val="FunctionTok"/>
        </w:rPr>
        <w:t xml:space="preserve">gamma</w:t>
      </w:r>
      <w:r>
        <w:rPr>
          <w:rStyle w:val="NormalTok"/>
        </w:rPr>
        <w:t xml:space="preserve">(a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gamma</w:t>
      </w:r>
      <w:r>
        <w:rPr>
          <w:rStyle w:val="NormalTok"/>
        </w:rPr>
        <w:t xml:space="preserve">(a)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gamma</w:t>
      </w:r>
      <w:r>
        <w:rPr>
          <w:rStyle w:val="NormalTok"/>
        </w:rPr>
        <w:t xml:space="preserve">(b)))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NormalTok"/>
        </w:rPr>
        <w:t xml:space="preserve">(psi)</w:t>
      </w:r>
      <w:r>
        <w:rPr>
          <w:rStyle w:val="SpecialCharTok"/>
        </w:rPr>
        <w:t xml:space="preserve">^</w:t>
      </w:r>
      <w:r>
        <w:rPr>
          <w:rStyle w:val="NormalTok"/>
        </w:rPr>
        <w:t xml:space="preserve">(a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NormalTok"/>
        </w:rPr>
        <w:t xml:space="preserve">(psi))</w:t>
      </w:r>
      <w:r>
        <w:rPr>
          <w:rStyle w:val="SpecialCharTok"/>
        </w:rPr>
        <w:t xml:space="preserve">^</w:t>
      </w:r>
      <w:r>
        <w:rPr>
          <w:rStyle w:val="NormalTok"/>
        </w:rPr>
        <w:t xml:space="preserve">(b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dh</w:t>
      </w:r>
      <w:r>
        <w:rPr>
          <w:rStyle w:val="NormalTok"/>
        </w:rPr>
        <w:t xml:space="preserve">(psi)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# To verify this is a valid PDF - with various a and b, integral should be approximately 1</w:t>
      </w:r>
      <w:r>
        <w:br/>
      </w:r>
      <w:r>
        <w:rPr>
          <w:rStyle w:val="FunctionTok"/>
        </w:rPr>
        <w:t xml:space="preserve">integrate</w:t>
      </w:r>
      <w:r>
        <w:rPr>
          <w:rStyle w:val="NormalTok"/>
        </w:rPr>
        <w:t xml:space="preserve">(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(p) </w:t>
      </w:r>
      <w:r>
        <w:rPr>
          <w:rStyle w:val="FunctionTok"/>
        </w:rPr>
        <w:t xml:space="preserve">dpsi</w:t>
      </w:r>
      <w:r>
        <w:rPr>
          <w:rStyle w:val="NormalTok"/>
        </w:rPr>
        <w:t xml:space="preserve">(p,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1 with absolute error &lt; 9e-07</w:t>
      </w:r>
      <w:r>
        <w:br/>
      </w:r>
      <w:r>
        <w:rPr>
          <w:rStyle w:val="FunctionTok"/>
        </w:rPr>
        <w:t xml:space="preserve">integrate</w:t>
      </w:r>
      <w:r>
        <w:rPr>
          <w:rStyle w:val="NormalTok"/>
        </w:rPr>
        <w:t xml:space="preserve">(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(p) </w:t>
      </w:r>
      <w:r>
        <w:rPr>
          <w:rStyle w:val="FunctionTok"/>
        </w:rPr>
        <w:t xml:space="preserve">dpsi</w:t>
      </w:r>
      <w:r>
        <w:rPr>
          <w:rStyle w:val="NormalTok"/>
        </w:rPr>
        <w:t xml:space="preserve">(p,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),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1 with absolute error &lt; 1.2e-08</w:t>
      </w:r>
      <w:r>
        <w:br/>
      </w:r>
      <w:r>
        <w:rPr>
          <w:rStyle w:val="FunctionTok"/>
        </w:rPr>
        <w:t xml:space="preserve">integrate</w:t>
      </w:r>
      <w:r>
        <w:rPr>
          <w:rStyle w:val="NormalTok"/>
        </w:rPr>
        <w:t xml:space="preserve">(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(p) </w:t>
      </w:r>
      <w:r>
        <w:rPr>
          <w:rStyle w:val="FunctionTok"/>
        </w:rPr>
        <w:t xml:space="preserve">dpsi</w:t>
      </w:r>
      <w:r>
        <w:rPr>
          <w:rStyle w:val="NormalTok"/>
        </w:rPr>
        <w:t xml:space="preserve">(p,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1 with absolute error &lt; 5.6e-05</w:t>
      </w:r>
      <w:r>
        <w:br/>
      </w:r>
      <w:r>
        <w:br/>
      </w:r>
      <w:r>
        <w:rPr>
          <w:rStyle w:val="NormalTok"/>
        </w:rPr>
        <w:t xml:space="preserve">psi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density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dpsi</w:t>
      </w:r>
      <w:r>
        <w:rPr>
          <w:rStyle w:val="NormalTok"/>
        </w:rPr>
        <w:t xml:space="preserve">(psi,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qplot</w:t>
      </w:r>
      <w:r>
        <w:rPr>
          <w:rStyle w:val="NormalTok"/>
        </w:rPr>
        <w:t xml:space="preserve">(psi, density, </w:t>
      </w:r>
      <w:r>
        <w:rPr>
          <w:rStyle w:val="AttributeTok"/>
        </w:rPr>
        <w:t xml:space="preserve">geom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'line'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105" name="Picture"/>
            <a:graphic>
              <a:graphicData uri="http://schemas.openxmlformats.org/drawingml/2006/picture">
                <pic:pic>
                  <pic:nvPicPr>
                    <pic:cNvPr descr="3_files/figure-docx/unnamed-chunk-17-1.png" id="106" name="Picture"/>
                    <pic:cNvPicPr>
                      <a:picLocks noChangeArrowheads="1"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This prior is also visualized via Monte-Carlo simulation in exercise 4.6. One</w:t>
      </w:r>
      <w:r>
        <w:t xml:space="preserve"> </w:t>
      </w:r>
      <w:r>
        <w:t xml:space="preserve">perhaps counterintuitive result here is that for a Beta-Binomial model, an</w:t>
      </w:r>
      <w:r>
        <w:t xml:space="preserve"> </w:t>
      </w:r>
      <w:r>
        <w:t xml:space="preserve">uninformative (uniform) prior on</w:t>
      </w:r>
      <w:r>
        <w:t xml:space="preserve"> </w:t>
      </w:r>
      <m:oMath>
        <m:r>
          <m:t>θ</m:t>
        </m:r>
      </m:oMath>
      <w:r>
        <w:t xml:space="preserve"> </w:t>
      </w:r>
      <w:r>
        <w:rPr>
          <w:i/>
          <w:iCs/>
        </w:rPr>
        <w:t xml:space="preserve">does</w:t>
      </w:r>
      <w:r>
        <w:t xml:space="preserve"> </w:t>
      </w:r>
      <w:r>
        <w:t xml:space="preserve">result in an informative prior</w:t>
      </w:r>
      <w:r>
        <w:t xml:space="preserve"> </w:t>
      </w:r>
      <w:r>
        <w:t xml:space="preserve">on the log-odds. This was apparently a</w:t>
      </w:r>
      <w:r>
        <w:t xml:space="preserve"> </w:t>
      </w:r>
      <w:r>
        <w:t xml:space="preserve">“major criticism of Bayesian inference”</w:t>
      </w:r>
      <w:r>
        <w:t xml:space="preserve"> </w:t>
      </w:r>
      <w:r>
        <w:t xml:space="preserve">led by R.A. Fisher. For more information about this (and an introduction into</w:t>
      </w:r>
      <w:r>
        <w:t xml:space="preserve"> </w:t>
      </w:r>
      <w:r>
        <w:t xml:space="preserve">the Jeffreys’ prior exercises next up), see</w:t>
      </w:r>
      <w:r>
        <w:t xml:space="preserve"> </w:t>
      </w:r>
      <w:r>
        <w:t xml:space="preserve">Zhu (2011)</w:t>
      </w:r>
      <w:r>
        <w:t xml:space="preserve">.</w:t>
      </w:r>
    </w:p>
    <w:p>
      <w:pPr>
        <w:pStyle w:val="BodyText"/>
      </w:pPr>
      <w:r>
        <w:t xml:space="preserve">Point: it is impossible to have a totally diffuse prior on a random variable</w:t>
      </w:r>
      <w:r>
        <w:t xml:space="preserve"> </w:t>
      </w:r>
      <w:r>
        <w:t xml:space="preserve">with infinite support such as the log-odds, though…</w:t>
      </w:r>
    </w:p>
    <w:bookmarkEnd w:id="107"/>
    <w:bookmarkStart w:id="111" w:name="b-5"/>
    <w:p>
      <w:pPr>
        <w:pStyle w:val="Heading3"/>
      </w:pPr>
      <w:r>
        <w:t xml:space="preserve">4.7.2 b</w:t>
      </w:r>
    </w:p>
    <w:p>
      <w:pPr>
        <w:pStyle w:val="FirstParagraph"/>
      </w:pPr>
      <w:r>
        <w:t xml:space="preserve">If</w:t>
      </w:r>
      <w:r>
        <w:t xml:space="preserve"> </w:t>
      </w:r>
      <m:oMath>
        <m:r>
          <m:t>ψ</m:t>
        </m:r>
        <m:r>
          <m:rPr>
            <m:sty m:val="p"/>
          </m:rPr>
          <m:t>=</m:t>
        </m:r>
        <m:r>
          <m:t>g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</m:e>
        </m:d>
        <m:r>
          <m:rPr>
            <m:sty m:val="p"/>
          </m:rPr>
          <m:t>=</m:t>
        </m:r>
        <m:r>
          <m:rPr>
            <m:sty m:val="p"/>
          </m:rPr>
          <m:t>log</m:t>
        </m:r>
        <m:r>
          <m:t>θ</m:t>
        </m:r>
      </m:oMath>
      <w:r>
        <w:t xml:space="preserve">, then</w:t>
      </w:r>
      <w:r>
        <w:t xml:space="preserve"> </w:t>
      </w:r>
      <w:r>
        <w:t xml:space="preserve">let</w:t>
      </w:r>
      <w:r>
        <w:t xml:space="preserve"> </w:t>
      </w:r>
      <m:oMath>
        <m:r>
          <m:t>θ</m:t>
        </m:r>
        <m:r>
          <m:rPr>
            <m:sty m:val="p"/>
          </m:rPr>
          <m:t>=</m:t>
        </m:r>
        <m:r>
          <m:t>h</m:t>
        </m:r>
        <m:d>
          <m:dPr>
            <m:begChr m:val="("/>
            <m:sepChr m:val=""/>
            <m:endChr m:val=")"/>
            <m:grow/>
          </m:dPr>
          <m:e>
            <m:r>
              <m:t>ψ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ψ</m:t>
            </m:r>
          </m:sup>
        </m:sSup>
      </m:oMath>
      <w:r>
        <w:t xml:space="preserve">. Then, by the change of</w:t>
      </w:r>
      <w:r>
        <w:t xml:space="preserve"> </w:t>
      </w:r>
      <w:r>
        <w:t xml:space="preserve">variables formula,</w:t>
      </w:r>
    </w:p>
    <w:p>
      <w:pPr>
        <w:pStyle w:val="BodyText"/>
      </w:pPr>
    </w:p>
    <w:p>
      <w:pPr>
        <w:pStyle w:val="SourceCode"/>
      </w:pPr>
      <w:r>
        <w:rPr>
          <w:rStyle w:val="NormalTok"/>
        </w:rPr>
        <w:t xml:space="preserve">dpsi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(psi, a, b) {</w:t>
      </w:r>
      <w:r>
        <w:br/>
      </w:r>
      <w:r>
        <w:rPr>
          <w:rStyle w:val="NormalTok"/>
        </w:rPr>
        <w:t xml:space="preserve">  (b</w:t>
      </w:r>
      <w:r>
        <w:rPr>
          <w:rStyle w:val="SpecialCharTok"/>
        </w:rPr>
        <w:t xml:space="preserve">^</w:t>
      </w:r>
      <w:r>
        <w:rPr>
          <w:rStyle w:val="NormalTok"/>
        </w:rPr>
        <w:t xml:space="preserve">a)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gamma</w:t>
      </w:r>
      <w:r>
        <w:rPr>
          <w:rStyle w:val="NormalTok"/>
        </w:rPr>
        <w:t xml:space="preserve">(a))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(a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psi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b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(psi))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# To verify this is a valid PDF - with various a and b, integral should be approximately 1</w:t>
      </w:r>
      <w:r>
        <w:br/>
      </w:r>
      <w:r>
        <w:rPr>
          <w:rStyle w:val="FunctionTok"/>
        </w:rPr>
        <w:t xml:space="preserve">integrate</w:t>
      </w:r>
      <w:r>
        <w:rPr>
          <w:rStyle w:val="NormalTok"/>
        </w:rPr>
        <w:t xml:space="preserve">(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(p) </w:t>
      </w:r>
      <w:r>
        <w:rPr>
          <w:rStyle w:val="FunctionTok"/>
        </w:rPr>
        <w:t xml:space="preserve">dpsi</w:t>
      </w:r>
      <w:r>
        <w:rPr>
          <w:rStyle w:val="NormalTok"/>
        </w:rPr>
        <w:t xml:space="preserve">(p,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1 with absolute error &lt; 3.3e-06</w:t>
      </w:r>
      <w:r>
        <w:br/>
      </w:r>
      <w:r>
        <w:rPr>
          <w:rStyle w:val="FunctionTok"/>
        </w:rPr>
        <w:t xml:space="preserve">integrate</w:t>
      </w:r>
      <w:r>
        <w:rPr>
          <w:rStyle w:val="NormalTok"/>
        </w:rPr>
        <w:t xml:space="preserve">(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(p) </w:t>
      </w:r>
      <w:r>
        <w:rPr>
          <w:rStyle w:val="FunctionTok"/>
        </w:rPr>
        <w:t xml:space="preserve">dpsi</w:t>
      </w:r>
      <w:r>
        <w:rPr>
          <w:rStyle w:val="NormalTok"/>
        </w:rPr>
        <w:t xml:space="preserve">(p,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),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1 with absolute error &lt; 2.3e-05</w:t>
      </w:r>
      <w:r>
        <w:br/>
      </w:r>
      <w:r>
        <w:rPr>
          <w:rStyle w:val="FunctionTok"/>
        </w:rPr>
        <w:t xml:space="preserve">integrate</w:t>
      </w:r>
      <w:r>
        <w:rPr>
          <w:rStyle w:val="NormalTok"/>
        </w:rPr>
        <w:t xml:space="preserve">(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(p) </w:t>
      </w:r>
      <w:r>
        <w:rPr>
          <w:rStyle w:val="FunctionTok"/>
        </w:rPr>
        <w:t xml:space="preserve">dpsi</w:t>
      </w:r>
      <w:r>
        <w:rPr>
          <w:rStyle w:val="NormalTok"/>
        </w:rPr>
        <w:t xml:space="preserve">(p,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1 with absolute error &lt; 3.1e-05</w:t>
      </w:r>
      <w:r>
        <w:br/>
      </w:r>
      <w:r>
        <w:br/>
      </w:r>
      <w:r>
        <w:rPr>
          <w:rStyle w:val="NormalTok"/>
        </w:rPr>
        <w:t xml:space="preserve">psi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density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dpsi</w:t>
      </w:r>
      <w:r>
        <w:rPr>
          <w:rStyle w:val="NormalTok"/>
        </w:rPr>
        <w:t xml:space="preserve">(psi,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qplot</w:t>
      </w:r>
      <w:r>
        <w:rPr>
          <w:rStyle w:val="NormalTok"/>
        </w:rPr>
        <w:t xml:space="preserve">(psi, density, </w:t>
      </w:r>
      <w:r>
        <w:rPr>
          <w:rStyle w:val="AttributeTok"/>
        </w:rPr>
        <w:t xml:space="preserve">geom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'line'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109" name="Picture"/>
            <a:graphic>
              <a:graphicData uri="http://schemas.openxmlformats.org/drawingml/2006/picture">
                <pic:pic>
                  <pic:nvPicPr>
                    <pic:cNvPr descr="3_files/figure-docx/unnamed-chunk-18-1.png" id="110" name="Picture"/>
                    <pic:cNvPicPr>
                      <a:picLocks noChangeArrowheads="1"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11"/>
    <w:bookmarkEnd w:id="112"/>
    <w:bookmarkStart w:id="116" w:name="section-7"/>
    <w:p>
      <w:pPr>
        <w:pStyle w:val="Heading2"/>
      </w:pPr>
      <w:r>
        <w:t xml:space="preserve">4.8 3.12</w:t>
      </w:r>
    </w:p>
    <w:bookmarkStart w:id="113" w:name="a-6"/>
    <w:p>
      <w:pPr>
        <w:pStyle w:val="Heading3"/>
      </w:pPr>
      <w:r>
        <w:t xml:space="preserve">4.8.1 a</w:t>
      </w:r>
    </w:p>
    <w:p>
      <w:pPr>
        <w:pStyle w:val="FirstParagraph"/>
      </w:pPr>
      <w:r>
        <w:t xml:space="preserve">If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Binomial, then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θ</m:t>
            </m:r>
          </m:e>
        </m:d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y</m:t>
                </m:r>
              </m:den>
            </m:f>
          </m:e>
        </m:d>
        <m:sSup>
          <m:e>
            <m:r>
              <m:t>θ</m:t>
            </m:r>
          </m:e>
          <m:sup>
            <m:r>
              <m:t>y</m:t>
            </m:r>
          </m:sup>
        </m:sSup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θ</m:t>
                </m:r>
              </m:e>
            </m:d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y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So</w:t>
      </w:r>
      <w:r>
        <w:t xml:space="preserve"> </w:t>
      </w:r>
      <m:oMath>
        <m:r>
          <m:t>I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  <m:scr m:val="double-struck"/>
          </m:rPr>
          <m:t>E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rPr>
                    <m:sty m:val="p"/>
                  </m:rPr>
                  <m:t>∂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ℓ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θ</m:t>
                </m:r>
              </m:e>
            </m:d>
            <m:r>
              <m:rPr>
                <m:sty m:val="p"/>
              </m:rPr>
              <m:t>/</m:t>
            </m:r>
            <m:r>
              <m:rPr>
                <m:sty m:val="p"/>
              </m:rPr>
              <m:t>∂</m:t>
            </m:r>
            <m:sSup>
              <m:e>
                <m:r>
                  <m:t>θ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 </w:t>
      </w:r>
      <w:r>
        <w:t xml:space="preserve">where</w:t>
      </w:r>
      <w:r>
        <w:t xml:space="preserve"> </w:t>
      </w:r>
      <m:oMath>
        <m:r>
          <m:rPr>
            <m:sty m:val="p"/>
          </m:rPr>
          <m:t>ℓ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θ</m:t>
            </m:r>
          </m:e>
        </m:d>
        <m:r>
          <m:rPr>
            <m:sty m:val="p"/>
          </m:rPr>
          <m:t>=</m:t>
        </m:r>
        <m:r>
          <m:rPr>
            <m:sty m:val="p"/>
          </m:rPr>
          <m:t>log</m:t>
        </m:r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θ</m:t>
            </m:r>
          </m:e>
        </m:d>
      </m:oMath>
      <w:r>
        <w:t xml:space="preserve">. Now,</w:t>
      </w:r>
    </w:p>
    <w:p>
      <w:pPr>
        <w:pStyle w:val="BodyText"/>
      </w:pPr>
    </w:p>
    <w:p>
      <w:pPr>
        <w:pStyle w:val="BodyText"/>
      </w:pPr>
      <w:r>
        <w:t xml:space="preserve">So</w:t>
      </w:r>
    </w:p>
    <w:p>
      <w:pPr>
        <w:pStyle w:val="BodyText"/>
      </w:pPr>
    </w:p>
    <w:p>
      <w:pPr>
        <w:pStyle w:val="BodyText"/>
      </w:pPr>
      <w:r>
        <w:t xml:space="preserve">So Jeffreys’ prior distribution is</w:t>
      </w:r>
    </w:p>
    <w:p>
      <w:pPr>
        <w:pStyle w:val="BodyText"/>
      </w:pPr>
    </w:p>
    <w:p>
      <w:pPr>
        <w:pStyle w:val="BodyText"/>
      </w:pPr>
      <w:r>
        <w:t xml:space="preserve">where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r>
            <m:rPr>
              <m:sty m:val="p"/>
            </m:rPr>
            <m:t>=</m:t>
          </m:r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1</m:t>
                      </m:r>
                    </m:sup>
                    <m:e>
                      <m:rad>
                        <m:radPr>
                          <m:degHide m:val="on"/>
                        </m:radPr>
                        <m:deg/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t>n</m:t>
                              </m:r>
                            </m:num>
                            <m:den>
                              <m:r>
                                <m:t>θ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r>
                                    <m:t>1</m:t>
                                  </m:r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r>
                                    <m:t>θ</m:t>
                                  </m:r>
                                </m:e>
                              </m:d>
                            </m:den>
                          </m:f>
                        </m:e>
                      </m:rad>
                    </m:e>
                  </m:nary>
                  <m:r>
                    <m:t> </m:t>
                  </m:r>
                  <m:r>
                    <m:t>d</m:t>
                  </m:r>
                  <m:r>
                    <m:t>θ</m:t>
                  </m:r>
                </m:e>
              </m:d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.</m:t>
          </m:r>
        </m:oMath>
      </m:oMathPara>
    </w:p>
    <w:bookmarkEnd w:id="113"/>
    <w:bookmarkStart w:id="114" w:name="b-6"/>
    <w:p>
      <w:pPr>
        <w:pStyle w:val="Heading3"/>
      </w:pPr>
      <w:r>
        <w:t xml:space="preserve">4.8.2 b</w:t>
      </w:r>
    </w:p>
    <w:p>
      <w:pPr>
        <w:pStyle w:val="FirstParagraph"/>
      </w:pPr>
    </w:p>
    <w:p>
      <w:pPr>
        <w:pStyle w:val="BodyText"/>
      </w:pPr>
      <w:r>
        <w:t xml:space="preserve">So</w:t>
      </w:r>
    </w:p>
    <w:p>
      <w:pPr>
        <w:pStyle w:val="BodyText"/>
      </w:pPr>
    </w:p>
    <w:p>
      <w:pPr>
        <w:pStyle w:val="BodyText"/>
      </w:pPr>
      <w:r>
        <w:t xml:space="preserve">Then Jeffreys prior is</w:t>
      </w:r>
      <w:r>
        <w:t xml:space="preserve"> </w:t>
      </w:r>
    </w:p>
    <w:bookmarkEnd w:id="114"/>
    <w:bookmarkStart w:id="115" w:name="c-4"/>
    <w:p>
      <w:pPr>
        <w:pStyle w:val="Heading3"/>
      </w:pPr>
      <w:r>
        <w:t xml:space="preserve">4.8.3 c</w:t>
      </w:r>
    </w:p>
    <w:p>
      <w:pPr>
        <w:pStyle w:val="FirstParagraph"/>
      </w:pPr>
      <w:r>
        <w:t xml:space="preserve">If</w:t>
      </w:r>
      <w:r>
        <w:t xml:space="preserve"> </w:t>
      </w:r>
      <m:oMath>
        <m:r>
          <m:t>ψ</m:t>
        </m:r>
        <m:r>
          <m:rPr>
            <m:sty m:val="p"/>
          </m:rPr>
          <m:t>=</m:t>
        </m:r>
        <m:r>
          <m:t>g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</m:e>
        </m:d>
        <m:r>
          <m:rPr>
            <m:sty m:val="p"/>
          </m:rPr>
          <m:t>=</m:t>
        </m:r>
        <m:r>
          <m:rPr>
            <m:sty m:val="p"/>
          </m:rPr>
          <m:t>log</m:t>
        </m:r>
        <m:f>
          <m:fPr>
            <m:type m:val="bar"/>
          </m:fPr>
          <m:num>
            <m:r>
              <m:t>θ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θ</m:t>
            </m:r>
          </m:den>
        </m:f>
      </m:oMath>
      <w:r>
        <w:t xml:space="preserve">, then</w:t>
      </w:r>
      <w:r>
        <w:t xml:space="preserve"> </w:t>
      </w:r>
      <w:r>
        <w:t xml:space="preserve">let</w:t>
      </w:r>
      <w:r>
        <w:t xml:space="preserve"> </w:t>
      </w:r>
      <m:oMath>
        <m:r>
          <m:t>θ</m:t>
        </m:r>
        <m:r>
          <m:rPr>
            <m:sty m:val="p"/>
          </m:rPr>
          <m:t>=</m:t>
        </m:r>
        <m:r>
          <m:t>h</m:t>
        </m:r>
        <m:d>
          <m:dPr>
            <m:begChr m:val="("/>
            <m:sepChr m:val=""/>
            <m:endChr m:val=")"/>
            <m:grow/>
          </m:dPr>
          <m:e>
            <m:r>
              <m:t>ψ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ψ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t>ψ</m:t>
                </m:r>
              </m:sup>
            </m:sSup>
          </m:den>
        </m:f>
      </m:oMath>
      <w:r>
        <w:t xml:space="preserve">. Then, by the change of</w:t>
      </w:r>
      <w:r>
        <w:t xml:space="preserve"> </w:t>
      </w:r>
      <w:r>
        <w:t xml:space="preserve">variables formula,</w:t>
      </w:r>
    </w:p>
    <w:p>
      <w:pPr>
        <w:pStyle w:val="BodyText"/>
      </w:pPr>
    </w:p>
    <w:p>
      <w:pPr>
        <w:pStyle w:val="BodyText"/>
      </w:pPr>
      <w:r>
        <w:t xml:space="preserve">In this case, it has been demonstrated that Jeffreys’ prior is invariant under monotone transformation.</w:t>
      </w:r>
    </w:p>
    <w:bookmarkEnd w:id="115"/>
    <w:bookmarkEnd w:id="116"/>
    <w:bookmarkStart w:id="124" w:name="section-8"/>
    <w:p>
      <w:pPr>
        <w:pStyle w:val="Heading2"/>
      </w:pPr>
      <w:r>
        <w:t xml:space="preserve">4.9 3.13</w:t>
      </w:r>
    </w:p>
    <w:p>
      <w:pPr>
        <w:pStyle w:val="FirstParagraph"/>
      </w:pPr>
      <w:r>
        <w:t xml:space="preserve">Improper Jeffreys’ prior</w:t>
      </w:r>
    </w:p>
    <w:bookmarkStart w:id="117" w:name="a-7"/>
    <w:p>
      <w:pPr>
        <w:pStyle w:val="Heading3"/>
      </w:pPr>
      <w:r>
        <w:t xml:space="preserve">4.9.1 a</w:t>
      </w:r>
    </w:p>
    <w:p>
      <w:pPr>
        <w:pStyle w:val="FirstParagraph"/>
      </w:pPr>
      <w:r>
        <w:t xml:space="preserve">If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nor/>
            <m:sty m:val="p"/>
          </m:rPr>
          <m:t>Poisson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</m:e>
        </m:d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θ</m:t>
                </m:r>
              </m:e>
              <m:sup>
                <m:r>
                  <m:t>y</m:t>
                </m:r>
              </m:sup>
            </m:sSup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θ</m:t>
                </m:r>
              </m:sup>
            </m:sSup>
          </m:num>
          <m:den>
            <m:r>
              <m:t>y</m:t>
            </m:r>
            <m:r>
              <m:rPr>
                <m:sty m:val="p"/>
              </m:rPr>
              <m:t>!</m:t>
            </m:r>
          </m:den>
        </m:f>
      </m:oMath>
      <w:r>
        <w:t xml:space="preserve">.</w:t>
      </w:r>
    </w:p>
    <w:p>
      <w:pPr>
        <w:pStyle w:val="BodyText"/>
      </w:pPr>
    </w:p>
    <w:p>
      <w:pPr>
        <w:pStyle w:val="BodyText"/>
      </w:pPr>
      <w:r>
        <w:t xml:space="preserve">So</w:t>
      </w:r>
    </w:p>
    <w:p>
      <w:pPr>
        <w:pStyle w:val="BodyText"/>
      </w:pPr>
    </w:p>
    <w:p>
      <w:pPr>
        <w:pStyle w:val="BodyText"/>
      </w:pPr>
      <w:r>
        <w:t xml:space="preserve">and Jeffreys’ prior is</w:t>
      </w:r>
    </w:p>
    <w:p>
      <w:pPr>
        <w:pStyle w:val="BodyText"/>
      </w:pPr>
    </w:p>
    <w:p>
      <w:pPr>
        <w:pStyle w:val="BodyText"/>
      </w:pPr>
      <w:r>
        <w:t xml:space="preserve">Notice that, to be a proper probability distribution, it must be the case that</w:t>
      </w:r>
    </w:p>
    <w:p>
      <w:pPr>
        <w:pStyle w:val="BodyText"/>
      </w:pPr>
    </w:p>
    <w:p>
      <w:pPr>
        <w:pStyle w:val="BodyText"/>
      </w:pPr>
      <w:r>
        <w:t xml:space="preserve">However, this integral does not converge (</w:t>
      </w:r>
      <m:oMath>
        <m:r>
          <m:t>p</m:t>
        </m:r>
      </m:oMath>
      <w:r>
        <w:t xml:space="preserve">-test,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), so there is no</w:t>
      </w:r>
      <w:r>
        <w:t xml:space="preserve"> </w:t>
      </w:r>
      <w:r>
        <w:t xml:space="preserve">value of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such that this is a valid probability distribution. Thus (per the</w:t>
      </w:r>
      <w:r>
        <w:t xml:space="preserve"> </w:t>
      </w:r>
      <w:r>
        <w:t xml:space="preserve">name of the exercise) this is an</w:t>
      </w:r>
      <w:r>
        <w:t xml:space="preserve"> </w:t>
      </w:r>
      <w:r>
        <w:rPr>
          <w:i/>
          <w:iCs/>
        </w:rPr>
        <w:t xml:space="preserve">improper</w:t>
      </w:r>
      <w:r>
        <w:t xml:space="preserve"> </w:t>
      </w:r>
      <w:r>
        <w:t xml:space="preserve">Jeffreys’ prior.</w:t>
      </w:r>
    </w:p>
    <w:bookmarkEnd w:id="117"/>
    <w:bookmarkStart w:id="123" w:name="b-7"/>
    <w:p>
      <w:pPr>
        <w:pStyle w:val="Heading3"/>
      </w:pPr>
      <w:r>
        <w:t xml:space="preserve">4.9.2 b</w:t>
      </w:r>
    </w:p>
    <w:p>
      <w:pPr>
        <w:pStyle w:val="FirstParagraph"/>
      </w:pPr>
      <w:r>
        <w:t xml:space="preserve">However, even if</w:t>
      </w:r>
      <w:r>
        <w:t xml:space="preserve"> </w:t>
      </w:r>
      <m:oMath>
        <m:sSub>
          <m:e>
            <m:r>
              <m:t>p</m:t>
            </m:r>
          </m:e>
          <m:sub>
            <m:r>
              <m:t>J</m:t>
            </m:r>
          </m:sub>
        </m:sSub>
        <m:d>
          <m:dPr>
            <m:begChr m:val="("/>
            <m:sepChr m:val=""/>
            <m:endChr m:val=")"/>
            <m:grow/>
          </m:dPr>
          <m:e>
            <m:r>
              <m:t>θ</m:t>
            </m:r>
          </m:e>
        </m:d>
      </m:oMath>
      <w:r>
        <w:t xml:space="preserve"> </w:t>
      </w:r>
      <w:r>
        <w:t xml:space="preserve">is not a valid probability distribution, we can</w:t>
      </w:r>
      <w:r>
        <w:t xml:space="preserve"> </w:t>
      </w:r>
      <w:r>
        <w:t xml:space="preserve">still imagine performing</w:t>
      </w:r>
      <w:r>
        <w:t xml:space="preserve"> </w:t>
      </w:r>
      <w:r>
        <w:t xml:space="preserve">“inference”</w:t>
      </w:r>
      <w:r>
        <w:t xml:space="preserve"> </w:t>
      </w:r>
      <w:r>
        <w:t xml:space="preserve">using this prior.</w:t>
      </w:r>
    </w:p>
    <w:p>
      <w:pPr>
        <w:pStyle w:val="BodyText"/>
      </w:pPr>
    </w:p>
    <w:p>
      <w:pPr>
        <w:pStyle w:val="BodyText"/>
      </w:pPr>
      <w:r>
        <w:t xml:space="preserve">As a function of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only, this is proportional to</w:t>
      </w:r>
      <w:r>
        <w:t xml:space="preserve"> </w:t>
      </w:r>
    </w:p>
    <w:p>
      <w:pPr>
        <w:pStyle w:val="BodyText"/>
      </w:pPr>
      <w:r>
        <w:t xml:space="preserve">Since</w:t>
      </w:r>
      <w:r>
        <w:t xml:space="preserve"> </w:t>
      </w:r>
      <m:oMath>
        <m:r>
          <m:t>Γ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num>
              <m:den>
                <m:r>
                  <m:rPr>
                    <m:sty m:val="p"/>
                  </m:rPr>
                  <m:t>,</m:t>
                </m:r>
              </m:den>
            </m:f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&gt;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a valid parameterization of a</w:t>
      </w:r>
      <w:r>
        <w:t xml:space="preserve"> </w:t>
      </w:r>
      <w:r>
        <w:t xml:space="preserve">Gamma density, it follows that</w:t>
      </w:r>
      <w:r>
        <w:t xml:space="preserve"> </w:t>
      </w:r>
      <m:oMath>
        <m:r>
          <m:t>f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,</m:t>
            </m:r>
            <m:r>
              <m:t>y</m:t>
            </m:r>
          </m:e>
        </m:d>
      </m:oMath>
      <w:r>
        <w:t xml:space="preserve"> </w:t>
      </w:r>
      <w:r>
        <w:t xml:space="preserve">can be normalized such that it</w:t>
      </w:r>
      <w:r>
        <w:t xml:space="preserve"> </w:t>
      </w:r>
      <w:r>
        <w:t xml:space="preserve">represents a valid posterior density for</w:t>
      </w:r>
      <w:r>
        <w:t xml:space="preserve"> </w:t>
      </w:r>
      <m:oMath>
        <m:r>
          <m:t>θ</m:t>
        </m:r>
      </m:oMath>
      <w:r>
        <w:t xml:space="preserve">. Actually calculating</w:t>
      </w:r>
      <w:r>
        <w:t xml:space="preserve"> </w:t>
      </w:r>
      <m:oMath>
        <m:r>
          <m:t>f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rPr>
            <m:sty m:val="p"/>
          </m:rPr>
          <m:t>/</m:t>
        </m:r>
        <m:r>
          <m:rPr>
            <m:sty m:val="p"/>
          </m:rPr>
          <m:t>∫</m:t>
        </m:r>
        <m:r>
          <m:t>f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t> </m:t>
        </m:r>
        <m:r>
          <m:t>d</m:t>
        </m:r>
        <m:r>
          <m:t>θ</m:t>
        </m:r>
      </m:oMath>
      <w:r>
        <w:t xml:space="preserve"> </w:t>
      </w:r>
      <w:r>
        <w:t xml:space="preserve">yields such a Gamma density.</w:t>
      </w:r>
    </w:p>
    <w:p>
      <w:pPr>
        <w:pStyle w:val="BodyText"/>
      </w:pPr>
      <w:r>
        <w:t xml:space="preserve">Notes: the prior in a) can be thought of as an improper</w:t>
      </w:r>
      <w:r>
        <w:t xml:space="preserve"> </w:t>
      </w:r>
      <m:oMath>
        <m:r>
          <m:rPr>
            <m:nor/>
            <m:sty m:val="p"/>
          </m:rPr>
          <m:t>Gamma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,</m:t>
            </m:r>
            <m:r>
              <m:t>0</m:t>
            </m:r>
          </m:e>
        </m:d>
      </m:oMath>
      <w:r>
        <w:t xml:space="preserve">.</w:t>
      </w:r>
      <w:r>
        <w:t xml:space="preserve"> </w:t>
      </w:r>
      <w:r>
        <w:t xml:space="preserve">Since improper Jeffreys’ priors are not real probability densities,</w:t>
      </w:r>
      <w:r>
        <w:t xml:space="preserve"> </w:t>
      </w:r>
      <w:r>
        <w:t xml:space="preserve">their usage is controversial for some. (Who?)</w:t>
      </w:r>
    </w:p>
    <w:bookmarkStart w:id="122" w:name="refs"/>
    <w:bookmarkStart w:id="119" w:name="ref-stackexchange_confidence"/>
    <w:p>
      <w:pPr>
        <w:pStyle w:val="Bibliography"/>
      </w:pPr>
      <w:r>
        <w:t xml:space="preserve">Cross Validated. 2010.</w:t>
      </w:r>
      <w:r>
        <w:t xml:space="preserve"> </w:t>
      </w:r>
      <w:r>
        <w:t xml:space="preserve">“What’s the Difference Between a Confidence Interval and a Credible Interval?”</w:t>
      </w:r>
      <w:r>
        <w:t xml:space="preserve"> Stack Exchange.</w:t>
      </w:r>
      <w:r>
        <w:t xml:space="preserve"> </w:t>
      </w:r>
      <w:hyperlink r:id="rId118">
        <w:r>
          <w:rPr>
            <w:rStyle w:val="Hyperlink"/>
          </w:rPr>
          <w:t xml:space="preserve">https://stats.stackexchange.com/questions/2272/whats-the-difference-between-a-confidence-interval-and-a-credible-interval</w:t>
        </w:r>
      </w:hyperlink>
      <w:r>
        <w:t xml:space="preserve">.</w:t>
      </w:r>
    </w:p>
    <w:bookmarkEnd w:id="119"/>
    <w:bookmarkStart w:id="121" w:name="ref-zhu2011"/>
    <w:p>
      <w:pPr>
        <w:pStyle w:val="Bibliography"/>
      </w:pPr>
      <w:r>
        <w:t xml:space="preserve">Zhu, Hao Helen. 2011.</w:t>
      </w:r>
      <w:r>
        <w:t xml:space="preserve"> </w:t>
      </w:r>
      <w:r>
        <w:t xml:space="preserve">“Jeffreys Prior.”</w:t>
      </w:r>
      <w:r>
        <w:t xml:space="preserve"> </w:t>
      </w:r>
      <w:hyperlink r:id="rId120">
        <w:r>
          <w:rPr>
            <w:rStyle w:val="Hyperlink"/>
          </w:rPr>
          <w:t xml:space="preserve">https://www2.stat.duke.edu/courses/Fall11/sta114/jeffreys.pdf</w:t>
        </w:r>
      </w:hyperlink>
      <w:r>
        <w:t xml:space="preserve">.</w:t>
      </w:r>
    </w:p>
    <w:bookmarkEnd w:id="121"/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734">
    <w:nsid w:val="00A99734"/>
    <w:multiLevelType w:val="multilevel"/>
    <w:lvl w:ilvl="0">
      <w:start w:val="4"/>
      <w:numFmt w:val="lowerLetter"/>
      <w:lvlText w:val="(%1)"/>
      <w:lvlJc w:val="left"/>
      <w:pPr>
        <w:ind w:left="720" w:hanging="360"/>
      </w:pPr>
    </w:lvl>
    <w:lvl w:ilvl="1">
      <w:start w:val="4"/>
      <w:numFmt w:val="lowerLetter"/>
      <w:lvlText w:val="(%2)"/>
      <w:lvlJc w:val="left"/>
      <w:pPr>
        <w:ind w:left="1440" w:hanging="360"/>
      </w:pPr>
    </w:lvl>
    <w:lvl w:ilvl="2">
      <w:start w:val="4"/>
      <w:numFmt w:val="lowerLetter"/>
      <w:lvlText w:val="(%3)"/>
      <w:lvlJc w:val="left"/>
      <w:pPr>
        <w:ind w:left="2160" w:hanging="360"/>
      </w:pPr>
    </w:lvl>
    <w:lvl w:ilvl="3">
      <w:start w:val="4"/>
      <w:numFmt w:val="lowerLetter"/>
      <w:lvlText w:val="(%4)"/>
      <w:lvlJc w:val="left"/>
      <w:pPr>
        <w:ind w:left="2880" w:hanging="360"/>
      </w:pPr>
    </w:lvl>
    <w:lvl w:ilvl="4">
      <w:start w:val="4"/>
      <w:numFmt w:val="lowerLetter"/>
      <w:lvlText w:val="(%5)"/>
      <w:lvlJc w:val="left"/>
      <w:pPr>
        <w:ind w:left="3600" w:hanging="360"/>
      </w:pPr>
    </w:lvl>
    <w:lvl w:ilvl="5">
      <w:start w:val="4"/>
      <w:numFmt w:val="lowerLetter"/>
      <w:lvlText w:val="(%6)"/>
      <w:lvlJc w:val="left"/>
      <w:pPr>
        <w:ind w:left="4320" w:hanging="360"/>
      </w:pPr>
    </w:lvl>
    <w:lvl w:ilvl="6">
      <w:start w:val="4"/>
      <w:numFmt w:val="lowerLetter"/>
      <w:lvlText w:val="(%7)"/>
      <w:lvlJc w:val="left"/>
      <w:pPr>
        <w:ind w:left="5040" w:hanging="360"/>
      </w:pPr>
    </w:lvl>
    <w:lvl w:ilvl="7">
      <w:start w:val="4"/>
      <w:numFmt w:val="lowerLetter"/>
      <w:lvlText w:val="(%8)"/>
      <w:lvlJc w:val="left"/>
      <w:pPr>
        <w:ind w:left="5760" w:hanging="360"/>
      </w:pPr>
    </w:lvl>
    <w:lvl w:ilvl="8">
      <w:start w:val="4"/>
      <w:numFmt w:val="lowerLetter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7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66" Target="media/rId66.png" /><Relationship Type="http://schemas.openxmlformats.org/officeDocument/2006/relationships/image" Id="rId71" Target="media/rId71.png" /><Relationship Type="http://schemas.openxmlformats.org/officeDocument/2006/relationships/image" Id="rId79" Target="media/rId79.png" /><Relationship Type="http://schemas.openxmlformats.org/officeDocument/2006/relationships/image" Id="rId85" Target="media/rId85.png" /><Relationship Type="http://schemas.openxmlformats.org/officeDocument/2006/relationships/image" Id="rId95" Target="media/rId95.png" /><Relationship Type="http://schemas.openxmlformats.org/officeDocument/2006/relationships/image" Id="rId104" Target="media/rId104.png" /><Relationship Type="http://schemas.openxmlformats.org/officeDocument/2006/relationships/image" Id="rId108" Target="media/rId108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36" Target="media/rId36.png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118" Target="https://stats.stackexchange.com/questions/2272/whats-the-difference-between-a-confidence-interval-and-a-credible-interval" TargetMode="External" /><Relationship Type="http://schemas.openxmlformats.org/officeDocument/2006/relationships/hyperlink" Id="rId120" Target="https://www2.stat.duke.edu/courses/Fall11/sta114/jeffreys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8" Target="https://stats.stackexchange.com/questions/2272/whats-the-difference-between-a-confidence-interval-and-a-credible-interval" TargetMode="External" /><Relationship Type="http://schemas.openxmlformats.org/officeDocument/2006/relationships/hyperlink" Id="rId120" Target="https://www2.stat.duke.edu/courses/Fall11/sta114/jeffreys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3: One-parameter models</dc:title>
  <dc:creator>Jesse Mu</dc:creator>
  <cp:keywords/>
  <dcterms:created xsi:type="dcterms:W3CDTF">2026-01-09T09:22:44Z</dcterms:created>
  <dcterms:modified xsi:type="dcterms:W3CDTF">2026-01-09T09:22:44Z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y-author">
    <vt:lpwstr/>
  </property>
  <property fmtid="{D5CDD505-2E9C-101B-9397-08002B2CF9AE}" pid="6" name="comments">
    <vt:lpwstr/>
  </property>
  <property fmtid="{D5CDD505-2E9C-101B-9397-08002B2CF9AE}" pid="7" name="date">
    <vt:lpwstr>2016-09-17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