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1: Introduction and examples</w:t>
      </w:r>
    </w:p>
    <w:p>
      <w:pPr>
        <w:pStyle w:val="Author"/>
      </w:pPr>
      <w:r>
        <w:t xml:space="preserve">Jesse Mu</w:t>
      </w:r>
    </w:p>
    <w:p>
      <w:pPr>
        <w:pStyle w:val="Date"/>
      </w:pPr>
      <w:r>
        <w:t xml:space="preserve">2016-09-07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2" w:name="introduction"/>
    <w:p>
      <w:pPr>
        <w:pStyle w:val="Heading1"/>
      </w:pPr>
      <w:r>
        <w:t xml:space="preserve">1. Introduction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Bayesian inference</w:t>
      </w:r>
      <w:r>
        <w:t xml:space="preserve">: the process of learning by updating prior probabilistic</w:t>
      </w:r>
      <w:r>
        <w:t xml:space="preserve"> </w:t>
      </w:r>
      <w:r>
        <w:t xml:space="preserve">beliefs in light of new information. Data analysis tools built on these foundations are known as</w:t>
      </w:r>
      <w:r>
        <w:t xml:space="preserve"> </w:t>
      </w:r>
      <w:r>
        <w:rPr>
          <w:i/>
          <w:iCs/>
        </w:rPr>
        <w:t xml:space="preserve">Bayesian methods</w:t>
      </w:r>
      <w:r>
        <w:t xml:space="preserve">.</w:t>
      </w:r>
    </w:p>
    <w:bookmarkStart w:id="21" w:name="the-bayesian-learning-framework"/>
    <w:p>
      <w:pPr>
        <w:pStyle w:val="Heading2"/>
      </w:pPr>
      <w:r>
        <w:t xml:space="preserve">1.1 The Bayesian learning framework</w:t>
      </w:r>
    </w:p>
    <w:p>
      <w:pPr>
        <w:pStyle w:val="FirstParagraph"/>
      </w:pPr>
      <w:r>
        <w:t xml:space="preserve">We want to estimate a parameter</w:t>
      </w:r>
      <w:r>
        <w:t xml:space="preserve"> </w:t>
      </w:r>
      <m:oMath>
        <m:r>
          <m:t>θ</m:t>
        </m:r>
        <m:r>
          <m:rPr>
            <m:sty m:val="p"/>
          </m:rPr>
          <m:t>∈</m:t>
        </m:r>
        <m:r>
          <m:t>Θ</m:t>
        </m:r>
      </m:oMath>
      <w:r>
        <w:t xml:space="preserve"> </w:t>
      </w:r>
      <w:r>
        <w:t xml:space="preserve">from a dataset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ty m:val="p"/>
            <m:scr m:val="script"/>
          </m:rPr>
          <m:t>Y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</m:oMath>
      <w:r>
        <w:t xml:space="preserve">, defined for all</w:t>
      </w:r>
      <w:r>
        <w:t xml:space="preserve"> </w:t>
      </w:r>
      <m:oMath>
        <m:r>
          <m:t>θ</m:t>
        </m:r>
        <m:r>
          <m:rPr>
            <m:sty m:val="p"/>
          </m:rPr>
          <m:t>∈</m:t>
        </m:r>
        <m:r>
          <m:t>Θ</m:t>
        </m:r>
      </m:oMath>
      <w:r>
        <w:t xml:space="preserve">, is our prior distribution about the space of possible parameters</w:t>
      </w:r>
    </w:p>
    <w:p>
      <w:pPr>
        <w:pStyle w:val="Compact"/>
        <w:numPr>
          <w:ilvl w:val="0"/>
          <w:numId w:val="1001"/>
        </w:numPr>
      </w:pPr>
      <w:r>
        <w:t xml:space="preserve">Bayesian methods require a</w:t>
      </w:r>
      <w:r>
        <w:t xml:space="preserve"> </w:t>
      </w:r>
      <w:r>
        <w:rPr>
          <w:b/>
          <w:bCs/>
        </w:rPr>
        <w:t xml:space="preserve">sampling model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θ</m:t>
            </m:r>
          </m:e>
        </m:d>
      </m:oMath>
      <w:r>
        <w:t xml:space="preserve"> </w:t>
      </w:r>
      <w:r>
        <w:t xml:space="preserve">describes the probability that of a specific dataset given a parameter.</w:t>
      </w:r>
    </w:p>
    <w:p>
      <w:pPr>
        <w:pStyle w:val="Compact"/>
        <w:numPr>
          <w:ilvl w:val="1"/>
          <w:numId w:val="1002"/>
        </w:numPr>
      </w:pPr>
      <w:r>
        <w:t xml:space="preserve">Note that later, this will be useful for prediction!</w:t>
      </w:r>
    </w:p>
    <w:p>
      <w:pPr>
        <w:pStyle w:val="FirstParagraph"/>
      </w:pPr>
      <w:r>
        <w:t xml:space="preserve">Then we wish to update our belief distribution about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given. The</w:t>
      </w:r>
      <w:r>
        <w:t xml:space="preserve"> </w:t>
      </w:r>
      <w:r>
        <w:rPr>
          <w:i/>
          <w:iCs/>
        </w:rPr>
        <w:t xml:space="preserve">posterior distribution</w:t>
      </w:r>
      <w:r>
        <w:t xml:space="preserve"> </w:t>
      </w:r>
      <w:r>
        <w:t xml:space="preserve">is defined as</w:t>
      </w:r>
    </w:p>
    <w:p>
      <w:pPr>
        <w:pStyle w:val="BodyText"/>
      </w:pPr>
    </w:p>
    <w:p>
      <w:pPr>
        <w:pStyle w:val="BodyText"/>
      </w:pPr>
      <w:r>
        <w:t xml:space="preserve">Note that the denominator is constant and doesn’t need to be computed, since we can just normalize our posterior distribution such that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r>
              <m:t>y</m:t>
            </m:r>
          </m:e>
        </m:d>
      </m:oMath>
      <w:r>
        <w:t xml:space="preserve"> </w:t>
      </w:r>
      <w:r>
        <w:t xml:space="preserve">for all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sums up to 1. Thus we commonly write</w:t>
      </w:r>
    </w:p>
    <w:p>
      <w:pPr>
        <w:pStyle w:val="BodyText"/>
      </w:pPr>
    </w:p>
    <w:bookmarkStart w:id="20" w:name="versus-frequentist-learning"/>
    <w:p>
      <w:pPr>
        <w:pStyle w:val="Heading3"/>
      </w:pPr>
      <w:r>
        <w:t xml:space="preserve">1.1.1 versus frequentist learning</w:t>
      </w:r>
    </w:p>
    <w:p>
      <w:pPr>
        <w:pStyle w:val="FirstParagraph"/>
      </w:pPr>
      <w:r>
        <w:t xml:space="preserve">(from Resnik and Hardisty 2010)</w:t>
      </w:r>
    </w:p>
    <w:p>
      <w:pPr>
        <w:pStyle w:val="BodyText"/>
      </w:pPr>
      <w:r>
        <w:t xml:space="preserve">The difference between Bayesian learning and frequentist learning is the</w:t>
      </w:r>
      <w:r>
        <w:t xml:space="preserve"> </w:t>
      </w:r>
      <w:r>
        <w:t xml:space="preserve">consideration of</w:t>
      </w:r>
      <w:r>
        <w:t xml:space="preserve"> </w:t>
      </w:r>
      <w:r>
        <w:rPr>
          <w:i/>
          <w:iCs/>
        </w:rPr>
        <w:t xml:space="preserve">prior beliefs</w:t>
      </w:r>
      <w:r>
        <w:t xml:space="preserve"> </w:t>
      </w:r>
      <w:r>
        <w:t xml:space="preserve">about parameters. In standard Maximum</w:t>
      </w:r>
      <w:r>
        <w:t xml:space="preserve"> </w:t>
      </w:r>
      <w:r>
        <w:t xml:space="preserve">Likelihood Estimation (MLE), we select the parameter that is most likely to have</w:t>
      </w:r>
      <w:r>
        <w:t xml:space="preserve"> </w:t>
      </w:r>
      <w:r>
        <w:t xml:space="preserve">generated the observed data: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θ</m:t>
              </m:r>
            </m:e>
            <m:sub>
              <m:r>
                <m:t>M</m:t>
              </m:r>
              <m:r>
                <m:t>L</m:t>
              </m:r>
            </m:sub>
          </m:sSub>
          <m:r>
            <m:rPr>
              <m:sty m:val="p"/>
            </m:rPr>
            <m:t>=</m:t>
          </m:r>
          <m:limLow>
            <m:e>
              <m:r>
                <m:rPr>
                  <m:nor/>
                  <m:sty m:val="p"/>
                </m:rPr>
                <m:t>argmax</m:t>
              </m:r>
            </m:e>
            <m:lim>
              <m:r>
                <m:t>θ</m:t>
              </m:r>
            </m:lim>
          </m:limLow>
          <m:r>
            <m:t> 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θ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Using Bayesian Maximum A Posteriori Estimation, however, we select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that</w:t>
      </w:r>
      <w:r>
        <w:t xml:space="preserve"> </w:t>
      </w:r>
      <w:r>
        <w:t xml:space="preserve">is most likely given the observed data. The difference is that our measure of</w:t>
      </w:r>
      <w:r>
        <w:t xml:space="preserve"> </w:t>
      </w:r>
      <w:r>
        <w:t xml:space="preserve">“likelihood given the data”</w:t>
      </w:r>
      <w:r>
        <w:t xml:space="preserve"> </w:t>
      </w:r>
      <w:r>
        <w:t xml:space="preserve">is influenced by our prior beliefs about</w:t>
      </w:r>
      <w:r>
        <w:t xml:space="preserve"> </w:t>
      </w:r>
      <m:oMath>
        <m:r>
          <m:t>θ</m:t>
        </m:r>
      </m:oMath>
      <w:r>
        <w:t xml:space="preserve">, as in Equation 2:</w:t>
      </w:r>
    </w:p>
    <w:p>
      <w:pPr>
        <w:pStyle w:val="BodyText"/>
      </w:pPr>
    </w:p>
    <w:p>
      <w:pPr>
        <w:pStyle w:val="BodyText"/>
      </w:pPr>
      <w:r>
        <w:t xml:space="preserve">Note that with an uninformative prior</w:t>
      </w:r>
      <w:r>
        <w:t xml:space="preserve"> </w:t>
      </w:r>
      <m:oMath>
        <m:r>
          <m:t>θ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</m:oMath>
      <w:r>
        <w:t xml:space="preserve">, the MAP</w:t>
      </w:r>
      <w:r>
        <w:t xml:space="preserve"> </w:t>
      </w:r>
      <w:r>
        <w:t xml:space="preserve">estimate is the same as the ML estimate.</w:t>
      </w:r>
    </w:p>
    <w:bookmarkEnd w:id="20"/>
    <w:bookmarkEnd w:id="21"/>
    <w:bookmarkEnd w:id="22"/>
    <w:bookmarkStart w:id="25" w:name="why-bayes"/>
    <w:p>
      <w:pPr>
        <w:pStyle w:val="Heading1"/>
      </w:pPr>
      <w:r>
        <w:t xml:space="preserve">2. Why Bayes?</w:t>
      </w:r>
    </w:p>
    <w:p>
      <w:r>
        <w:pict>
          <v:rect style="width:0;height:1.5pt" o:hralign="center" o:hrstd="t" o:hr="t"/>
        </w:pict>
      </w:r>
    </w:p>
    <w:bookmarkStart w:id="23" w:name="Xd685cdab38323ea2bc6b8b05911cd93410cfb12"/>
    <w:p>
      <w:pPr>
        <w:pStyle w:val="Heading2"/>
      </w:pPr>
      <w:r>
        <w:t xml:space="preserve">2.1 As an approach to probability and statistics</w:t>
      </w:r>
    </w:p>
    <w:p>
      <w:pPr>
        <w:pStyle w:val="FirstParagraph"/>
      </w:pPr>
      <w:r>
        <w:t xml:space="preserve">The debate between Bayesians and frequentists dives into some very philosophical</w:t>
      </w:r>
      <w:r>
        <w:t xml:space="preserve"> </w:t>
      </w:r>
      <w:r>
        <w:t xml:space="preserve">issues. Cox’s theorem (1946, 1961) gives a formal proof for thinking about</w:t>
      </w:r>
      <w:r>
        <w:t xml:space="preserve"> </w:t>
      </w:r>
      <w:r>
        <w:t xml:space="preserve">probabilities using a Bayesian approach. An explanation of these proofs can be found in</w:t>
      </w:r>
      <w:r>
        <w:t xml:space="preserve"> </w:t>
      </w:r>
      <w:r>
        <w:t xml:space="preserve">Van Horn (2003)</w:t>
      </w:r>
      <w:r>
        <w:t xml:space="preserve">.</w:t>
      </w:r>
    </w:p>
    <w:p>
      <w:pPr>
        <w:pStyle w:val="BodyText"/>
      </w:pPr>
      <w:r>
        <w:t xml:space="preserve">Outside of formal mathematical grounding, Bayesian methods have excellent</w:t>
      </w:r>
      <w:r>
        <w:t xml:space="preserve"> </w:t>
      </w:r>
      <w:r>
        <w:t xml:space="preserve">practical benefits as data analysis tools:</w:t>
      </w:r>
    </w:p>
    <w:p>
      <w:pPr>
        <w:pStyle w:val="Compact"/>
        <w:numPr>
          <w:ilvl w:val="0"/>
          <w:numId w:val="1003"/>
        </w:numPr>
      </w:pPr>
      <w:r>
        <w:t xml:space="preserve">Even if prior probabilities are not exactly quantifiable, approximations of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r>
              <m:t>y</m:t>
            </m:r>
          </m:e>
        </m:d>
      </m:oMath>
      <w:r>
        <w:t xml:space="preserve"> </w:t>
      </w:r>
      <w:r>
        <w:t xml:space="preserve">are still useful for analyzing how rational</w:t>
      </w:r>
      <w:r>
        <w:t xml:space="preserve"> </w:t>
      </w:r>
      <w:r>
        <w:t xml:space="preserve">learners would change beliefs</w:t>
      </w:r>
    </w:p>
    <w:p>
      <w:pPr>
        <w:pStyle w:val="Compact"/>
        <w:numPr>
          <w:ilvl w:val="0"/>
          <w:numId w:val="1003"/>
        </w:numPr>
      </w:pPr>
      <w:r>
        <w:t xml:space="preserve">Bayesian methods can represent principled ways of doing analysis when there</w:t>
      </w:r>
      <w:r>
        <w:t xml:space="preserve"> </w:t>
      </w:r>
      <w:r>
        <w:t xml:space="preserve">are no alternative methods</w:t>
      </w:r>
    </w:p>
    <w:bookmarkEnd w:id="23"/>
    <w:bookmarkStart w:id="24" w:name="as-models-of-cognition"/>
    <w:p>
      <w:pPr>
        <w:pStyle w:val="Heading2"/>
      </w:pPr>
      <w:r>
        <w:t xml:space="preserve">2.2 As models of cognition</w:t>
      </w:r>
    </w:p>
    <w:p>
      <w:pPr>
        <w:pStyle w:val="FirstParagraph"/>
      </w:pPr>
      <w:r>
        <w:t xml:space="preserve">An appeal of Bayesian learning is that it is also cognitively intuitive. Humans</w:t>
      </w:r>
      <w:r>
        <w:t xml:space="preserve"> </w:t>
      </w:r>
      <w:r>
        <w:t xml:space="preserve">have beliefs about the world, whose uncertainty can be expressed</w:t>
      </w:r>
      <w:r>
        <w:t xml:space="preserve"> </w:t>
      </w:r>
      <w:r>
        <w:t xml:space="preserve">probabilistically. Then, given data, these beliefs are rationally updated.</w:t>
      </w:r>
    </w:p>
    <w:p>
      <w:pPr>
        <w:pStyle w:val="BodyText"/>
      </w:pPr>
      <w:r>
        <w:t xml:space="preserve">There is a rich tradition in modeling human cognition using Bayesian methods to great</w:t>
      </w:r>
      <w:r>
        <w:t xml:space="preserve"> </w:t>
      </w:r>
      <w:r>
        <w:t xml:space="preserve">success, with plenty of work done in showing how people’s beliefs and knowledge</w:t>
      </w:r>
      <w:r>
        <w:t xml:space="preserve"> </w:t>
      </w:r>
      <w:r>
        <w:t xml:space="preserve">about the world can be expressed probabilistically</w:t>
      </w:r>
      <w:r>
        <w:t xml:space="preserve"> </w:t>
      </w:r>
      <w:r>
        <w:t xml:space="preserve">(e.g., Griffiths and Tenenbaum 2006)</w:t>
      </w:r>
    </w:p>
    <w:p>
      <w:pPr>
        <w:pStyle w:val="BodyText"/>
      </w:pPr>
      <w:r>
        <w:t xml:space="preserve">Bayesianism is not without its detractors, however. Some critics argue that the</w:t>
      </w:r>
      <w:r>
        <w:t xml:space="preserve"> </w:t>
      </w:r>
      <w:r>
        <w:t xml:space="preserve">evidence that Bayesian analysis is weak, and that sufficiently sophisticated</w:t>
      </w:r>
      <w:r>
        <w:t xml:space="preserve"> </w:t>
      </w:r>
      <w:r>
        <w:t xml:space="preserve">models are unfalsifiable. See</w:t>
      </w:r>
      <w:r>
        <w:t xml:space="preserve"> </w:t>
      </w:r>
      <w:r>
        <w:t xml:space="preserve">Bowers and Davis (2012a)</w:t>
      </w:r>
      <w:r>
        <w:t xml:space="preserve">, comment by</w:t>
      </w:r>
      <w:r>
        <w:t xml:space="preserve"> </w:t>
      </w:r>
      <w:r>
        <w:t xml:space="preserve">Griffiths et al. (2012)</w:t>
      </w:r>
      <w:r>
        <w:t xml:space="preserve">, reply by</w:t>
      </w:r>
      <w:r>
        <w:t xml:space="preserve"> </w:t>
      </w:r>
      <w:r>
        <w:t xml:space="preserve">Bowers and Davis (2012b)</w:t>
      </w:r>
      <w:r>
        <w:t xml:space="preserve">.</w:t>
      </w:r>
    </w:p>
    <w:bookmarkEnd w:id="24"/>
    <w:bookmarkEnd w:id="25"/>
    <w:bookmarkStart w:id="37" w:name="X11c8d879748525946d4e9615c67e22c0bc2c676"/>
    <w:p>
      <w:pPr>
        <w:pStyle w:val="Heading1"/>
      </w:pPr>
      <w:r>
        <w:t xml:space="preserve">3. Example 1: Estimating the probability of a rare event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are interested in the prevelance of a disease in a city. Let</w:t>
      </w:r>
      <w:r>
        <w:t xml:space="preserve"> </w:t>
      </w:r>
      <m:oMath>
        <m:r>
          <m:t>θ</m:t>
        </m:r>
        <m:r>
          <m:rPr>
            <m:sty m:val="p"/>
          </m:rPr>
          <m:t>∈</m:t>
        </m:r>
        <m:d>
          <m:dPr>
            <m:begChr m:val="["/>
            <m:sepChr m:val=""/>
            <m:endChr m:val="]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be the fraction of infected individuals.</w:t>
      </w:r>
      <w:r>
        <w:t xml:space="preserve"> </w:t>
      </w:r>
      <w:r>
        <w:t xml:space="preserve">We take a sample of 20 individuals and record the number of individuals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20</m:t>
        </m:r>
      </m:oMath>
      <w:r>
        <w:t xml:space="preserve"> </w:t>
      </w:r>
      <w:r>
        <w:t xml:space="preserve">with the disease.</w:t>
      </w:r>
    </w:p>
    <w:p>
      <w:pPr>
        <w:pStyle w:val="BodyText"/>
      </w:pPr>
      <w:r>
        <w:t xml:space="preserve">The sampling model is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∣</m:t>
          </m:r>
          <m:r>
            <m:t>θ</m:t>
          </m:r>
          <m:r>
            <m:rPr>
              <m:sty m:val="p"/>
            </m:rPr>
            <m:t>∼</m:t>
          </m:r>
          <m:r>
            <m:rPr>
              <m:nor/>
              <m:sty m:val="p"/>
            </m:rPr>
            <m:t>Binomial</m:t>
          </m:r>
          <m:d>
            <m:dPr>
              <m:begChr m:val="("/>
              <m:sepChr m:val=""/>
              <m:endChr m:val=")"/>
              <m:grow/>
            </m:dPr>
            <m:e>
              <m:r>
                <m:t>20</m:t>
              </m:r>
              <m:r>
                <m:rPr>
                  <m:sty m:val="p"/>
                </m:rPr>
                <m:t>,</m:t>
              </m:r>
              <m:r>
                <m:t>θ</m:t>
              </m:r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i.e. each individual has an independent</w:t>
      </w:r>
      <w:r>
        <w:t xml:space="preserve"> </w:t>
      </w:r>
      <m:oMath>
        <m:r>
          <m:t>θ</m:t>
        </m:r>
      </m:oMath>
      <w:r>
        <w:t xml:space="preserve">% chance of having the disease.</w:t>
      </w:r>
    </w:p>
    <w:p>
      <w:pPr>
        <w:pStyle w:val="SourceCode"/>
      </w:pPr>
      <w:r>
        <w:rPr>
          <w:rStyle w:val="NormalTok"/>
        </w:rPr>
        <w:t xml:space="preserve">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theta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0.10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0.20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probability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dbinom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0.05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dbinom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dbinom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(d,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y,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probability,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theta))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geom_bar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"identity"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"dodge"</w:t>
      </w:r>
      <w:r>
        <w:rPr>
          <w:rStyle w:val="NormalTok"/>
        </w:rPr>
        <w:t xml:space="preserve">)</w:t>
      </w:r>
    </w:p>
    <w:p>
      <w:pPr>
        <w:pStyle w:val="CaptionedFigure"/>
      </w:pPr>
      <w:r>
        <w:drawing>
          <wp:inline>
            <wp:extent cx="4620126" cy="3696101"/>
            <wp:effectExtent b="0" l="0" r="0" t="0"/>
            <wp:docPr descr="For various theta, the probability of observing y infected individuals in the sample." title="" id="27" name="Picture"/>
            <a:graphic>
              <a:graphicData uri="http://schemas.openxmlformats.org/drawingml/2006/picture">
                <pic:pic>
                  <pic:nvPicPr>
                    <pic:cNvPr descr="1_files/figure-docx/unnamed-chunk-2-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For various theta, the probability of observing y infected individuals in the sample.</w:t>
      </w:r>
    </w:p>
    <w:p>
      <w:pPr>
        <w:pStyle w:val="BodyText"/>
      </w:pPr>
      <w:r>
        <w:t xml:space="preserve">Imagine we believe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is probably in the interval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r>
              <m:t>0.05</m:t>
            </m:r>
            <m:r>
              <m:rPr>
                <m:sty m:val="p"/>
              </m:rPr>
              <m:t>,</m:t>
            </m:r>
            <m:r>
              <m:t>0.20</m:t>
            </m:r>
          </m:e>
        </m:d>
      </m:oMath>
      <w:r>
        <w:t xml:space="preserve">. For</w:t>
      </w:r>
      <w:r>
        <w:t xml:space="preserve"> </w:t>
      </w:r>
      <w:r>
        <w:t xml:space="preserve">computational convenience, we will encode this prior as a Beta distribution</w:t>
      </w:r>
    </w:p>
    <w:p>
      <w:pPr>
        <w:pStyle w:val="BodyText"/>
      </w:pPr>
      <m:oMathPara>
        <m:oMathParaPr>
          <m:jc m:val="center"/>
        </m:oMathParaPr>
        <m:oMath>
          <m:r>
            <m:t>θ</m:t>
          </m:r>
          <m:r>
            <m:rPr>
              <m:sty m:val="p"/>
            </m:rPr>
            <m:t>∼</m:t>
          </m:r>
          <m:r>
            <m:rPr>
              <m:nor/>
              <m:sty m:val="p"/>
            </m:rPr>
            <m:t>Beta</m:t>
          </m:r>
          <m:d>
            <m:dPr>
              <m:begChr m:val="("/>
              <m:sepChr m:val=""/>
              <m:endChr m:val=")"/>
              <m:grow/>
            </m:dPr>
            <m:e>
              <m:r>
                <m:t>2</m:t>
              </m:r>
              <m:r>
                <m:rPr>
                  <m:sty m:val="p"/>
                </m:rPr>
                <m:t>,</m:t>
              </m:r>
              <m:r>
                <m:t>20</m:t>
              </m:r>
            </m:e>
          </m:d>
        </m:oMath>
      </m:oMathPara>
    </w:p>
    <w:p>
      <w:pPr>
        <w:pStyle w:val="FirstParagraph"/>
      </w:pPr>
      <w:r>
        <w:t xml:space="preserve">Conveniently, (we will prove this later), given</w:t>
      </w:r>
      <w:r>
        <w:t xml:space="preserve"> </w:t>
      </w:r>
      <m:oMath>
        <m:r>
          <m:t>Y</m:t>
        </m:r>
        <m:r>
          <m:rPr>
            <m:sty m:val="p"/>
          </m:rPr>
          <m:t>∣</m:t>
        </m:r>
        <m:r>
          <m:t>θ</m:t>
        </m:r>
        <m:r>
          <m:rPr>
            <m:sty m:val="p"/>
          </m:rPr>
          <m:t>∼</m:t>
        </m:r>
        <m:r>
          <m:rPr>
            <m:nor/>
            <m:sty m:val="p"/>
          </m:rPr>
          <m:t>Binomial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θ</m:t>
            </m:r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t>θ</m:t>
        </m:r>
        <m:r>
          <m:rPr>
            <m:sty m:val="p"/>
          </m:rPr>
          <m:t>∼</m:t>
        </m:r>
        <m:r>
          <m:rPr>
            <m:nor/>
            <m:sty m:val="p"/>
          </m:rPr>
          <m:t>Beta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</m:e>
          </m:d>
          <m:r>
            <m:rPr>
              <m:sty m:val="p"/>
            </m:rPr>
            <m:t>∼</m:t>
          </m:r>
          <m:r>
            <m:rPr>
              <m:nor/>
              <m:sty m:val="p"/>
            </m:rPr>
            <m:t>Beta</m:t>
          </m:r>
          <m:d>
            <m:dPr>
              <m:begChr m:val="("/>
              <m:sepChr m:val=""/>
              <m:endChr m:val=")"/>
              <m:grow/>
            </m:dPr>
            <m:e>
              <m:r>
                <m:t>a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y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example, if we observe 0/20 individuals infected,</w:t>
      </w:r>
      <w:r>
        <w:t xml:space="preserve"> </w:t>
      </w:r>
      <m:oMath>
        <m:r>
          <m:t>θ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∼</m:t>
        </m:r>
        <m:r>
          <m:rPr>
            <m:nor/>
            <m:sty m:val="p"/>
          </m:rPr>
          <m:t>Beta</m:t>
        </m:r>
        <m:d>
          <m:dPr>
            <m:begChr m:val="("/>
            <m:sepChr m:val=""/>
            <m:endChr m:val=")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40</m:t>
            </m:r>
          </m:e>
        </m:d>
      </m:oMath>
      <w:r>
        <w:t xml:space="preserve">.</w:t>
      </w:r>
    </w:p>
    <w:p>
      <w:pPr>
        <w:pStyle w:val="SourceCode"/>
      </w:pPr>
      <w:r>
        <w:rPr>
          <w:rStyle w:val="NormalTok"/>
        </w:rPr>
        <w:t xml:space="preserve">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theta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distribution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"prior"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"posterior"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density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dbeta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0.001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dbeta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0.001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(d,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theta,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density,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distribution))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()</w:t>
      </w:r>
    </w:p>
    <w:p>
      <w:pPr>
        <w:pStyle w:val="CaptionedFigure"/>
      </w:pPr>
      <w:r>
        <w:drawing>
          <wp:inline>
            <wp:extent cx="4620126" cy="3696101"/>
            <wp:effectExtent b="0" l="0" r="0" t="0"/>
            <wp:docPr descr="Prior and posterior distributions on theta after observing 0/20 infected individuals. Note the posterior is more tightly peaked around near-zero values." title="" id="30" name="Picture"/>
            <a:graphic>
              <a:graphicData uri="http://schemas.openxmlformats.org/drawingml/2006/picture">
                <pic:pic>
                  <pic:nvPicPr>
                    <pic:cNvPr descr="1_files/figure-docx/unnamed-chunk-3-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Prior and posterior distributions on theta after observing 0/20 infected individuals. Note the posterior is more tightly peaked around near-zero values.</w:t>
      </w:r>
    </w:p>
    <w:p>
      <w:pPr>
        <w:pStyle w:val="BodyText"/>
      </w:pPr>
      <w:r>
        <w:t xml:space="preserve">Notice that Bayesian and frequentist approaches to parameter estimation differ:</w:t>
      </w:r>
    </w:p>
    <w:p>
      <w:pPr>
        <w:pStyle w:val="BodyText"/>
      </w:pPr>
    </w:p>
    <w:p>
      <w:pPr>
        <w:pStyle w:val="BodyText"/>
      </w:pPr>
      <w:r>
        <w:t xml:space="preserve">but also notice that the point estimate is NOT equal to the expectation of</w:t>
      </w:r>
      <w:r>
        <w:t xml:space="preserve"> </w:t>
      </w:r>
      <m:oMath>
        <m:r>
          <m:t>θ</m:t>
        </m:r>
      </m:oMath>
      <w:r>
        <w:t xml:space="preserve">, since</w:t>
      </w:r>
      <w:r>
        <w:t xml:space="preserve"> </w:t>
      </w:r>
      <m:oMath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0.048</m:t>
        </m:r>
      </m:oMath>
      <w:r>
        <w:t xml:space="preserve">. We will probably later</w:t>
      </w:r>
      <w:r>
        <w:t xml:space="preserve"> </w:t>
      </w:r>
      <w:r>
        <w:t xml:space="preserve">determine when to use the expectation over the mode.</w:t>
      </w:r>
    </w:p>
    <w:p>
      <w:pPr>
        <w:pStyle w:val="BodyText"/>
      </w:pPr>
      <w:r>
        <w:t xml:space="preserve">Finally, notice that we can do very intuitive statistical tests (e.g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&lt;</m:t>
            </m:r>
            <m:r>
              <m:t>0.10</m:t>
            </m:r>
            <m:r>
              <m:rPr>
                <m:sty m:val="p"/>
              </m:rPr>
              <m:t>∣</m:t>
            </m:r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</m:oMath>
      <w:r>
        <w:t xml:space="preserve">) by measuring the areas under our posterior distribution.</w:t>
      </w:r>
    </w:p>
    <w:bookmarkStart w:id="35" w:name="sensitivity-analysis"/>
    <w:p>
      <w:pPr>
        <w:pStyle w:val="Heading2"/>
      </w:pPr>
      <w:r>
        <w:t xml:space="preserve">3.1 Sensitivity analysis</w:t>
      </w:r>
    </w:p>
    <w:p>
      <w:pPr>
        <w:pStyle w:val="FirstParagraph"/>
      </w:pPr>
      <w:r>
        <w:t xml:space="preserve">If we change the confidence in our prior, we get different posterior</w:t>
      </w:r>
      <w:r>
        <w:t xml:space="preserve"> </w:t>
      </w:r>
      <w:r>
        <w:t xml:space="preserve">distributions. The more</w:t>
      </w:r>
      <w:r>
        <w:t xml:space="preserve"> </w:t>
      </w:r>
      <w:r>
        <w:t xml:space="preserve">“peaked”</w:t>
      </w:r>
      <w:r>
        <w:t xml:space="preserve"> </w:t>
      </w:r>
      <w:r>
        <w:t xml:space="preserve">our prior is, the less peaked the posterior</w:t>
      </w:r>
      <w:r>
        <w:t xml:space="preserve"> </w:t>
      </w:r>
      <w:r>
        <w:t xml:space="preserve">will be given a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result (and the less the Bayesian solution will</w:t>
      </w:r>
      <w:r>
        <w:t xml:space="preserve"> </w:t>
      </w:r>
      <w:r>
        <w:t xml:space="preserve">approximate the ML estimate).</w:t>
      </w:r>
    </w:p>
    <w:p>
      <w:pPr>
        <w:pStyle w:val="BodyText"/>
      </w:pPr>
      <w:r>
        <w:t xml:space="preserve">To quantify how changes in the prior beliefs affect our posterior estimates,</w:t>
      </w:r>
      <w:r>
        <w:t xml:space="preserve"> </w:t>
      </w:r>
      <w:r>
        <w:t xml:space="preserve">we’ll do some calculations. Recall the expectation and variance of Beta</w:t>
      </w:r>
      <w:r>
        <w:t xml:space="preserve"> </w:t>
      </w:r>
      <w:r>
        <w:t xml:space="preserve">distributions. If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Beta</m:t>
        </m:r>
        <m:d>
          <m:dPr>
            <m:begChr m:val="("/>
            <m:sepChr m:val=""/>
            <m:endChr m:val=")"/>
            <m:grow/>
          </m:dPr>
          <m:e>
            <m:r>
              <m:t>α</m:t>
            </m:r>
            <m:r>
              <m:rPr>
                <m:sty m:val="p"/>
              </m:rPr>
              <m:t>,</m:t>
            </m:r>
            <m:r>
              <m:t>β</m:t>
            </m:r>
          </m:e>
        </m:d>
      </m:oMath>
      <w:r>
        <w:t xml:space="preserve">, then</w:t>
      </w:r>
    </w:p>
    <w:p>
      <w:pPr>
        <w:pStyle w:val="BodyText"/>
      </w:pPr>
    </w:p>
    <w:p>
      <w:pPr>
        <w:pStyle w:val="BodyText"/>
      </w:pPr>
      <w:r>
        <w:t xml:space="preserve">Due to the properties of these functions we can parameterize the Beta distribution alternatively with</w:t>
      </w:r>
    </w:p>
    <w:p>
      <w:pPr>
        <w:pStyle w:val="Compact"/>
        <w:numPr>
          <w:ilvl w:val="0"/>
          <w:numId w:val="1004"/>
        </w:numPr>
      </w:pPr>
      <w:r>
        <w:t xml:space="preserve">Expectation: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α</m:t>
            </m:r>
          </m:num>
          <m:den>
            <m:r>
              <m:t>α</m:t>
            </m:r>
            <m:r>
              <m:rPr>
                <m:sty m:val="p"/>
              </m:rPr>
              <m:t>+</m:t>
            </m:r>
            <m:r>
              <m:t>β</m:t>
            </m:r>
          </m:den>
        </m:f>
      </m:oMath>
    </w:p>
    <w:p>
      <w:pPr>
        <w:pStyle w:val="Compact"/>
        <w:numPr>
          <w:ilvl w:val="0"/>
          <w:numId w:val="1004"/>
        </w:numPr>
      </w:pPr>
      <w:r>
        <w:t xml:space="preserve">Precision: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b</m:t>
        </m:r>
      </m:oMath>
    </w:p>
    <w:p>
      <w:pPr>
        <w:pStyle w:val="FirstParagraph"/>
      </w:pPr>
      <w:r>
        <w:t xml:space="preserve">Since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t>θ</m:t>
            </m:r>
            <m:r>
              <m:rPr>
                <m:sty m:val="p"/>
              </m:rPr>
              <m:t>∣</m:t>
            </m:r>
            <m:r>
              <m:t>Y</m:t>
            </m:r>
            <m:r>
              <m:rPr>
                <m:sty m:val="p"/>
              </m:rPr>
              <m:t>=</m:t>
            </m:r>
            <m:r>
              <m:t>y</m:t>
            </m:r>
          </m:e>
        </m:d>
        <m:r>
          <m:rPr>
            <m:sty m:val="p"/>
          </m:rPr>
          <m:t>∼</m:t>
        </m:r>
        <m:r>
          <m:rPr>
            <m:nor/>
            <m:sty m:val="p"/>
          </m:rPr>
          <m:t>Beta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y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+</m:t>
            </m:r>
            <m:r>
              <m:t>n</m:t>
            </m:r>
            <m:r>
              <m:rPr>
                <m:sty m:val="p"/>
              </m:rPr>
              <m:t>−</m:t>
            </m:r>
            <m:r>
              <m:t>y</m:t>
            </m:r>
          </m:e>
        </m:d>
      </m:oMath>
      <w:r>
        <w:t xml:space="preserve">,</w:t>
      </w:r>
    </w:p>
    <w:p>
      <w:pPr>
        <w:pStyle w:val="BodyText"/>
      </w:pPr>
    </w:p>
    <w:p>
      <w:pPr>
        <w:pStyle w:val="SourceCode"/>
      </w:pPr>
      <w:r>
        <w:rPr>
          <w:rStyle w:val="CommentTok"/>
        </w:rPr>
        <w:t xml:space="preserve"># What is the expected value of theta after observing result y, given a Beta</w:t>
      </w:r>
      <w:r>
        <w:br/>
      </w:r>
      <w:r>
        <w:rPr>
          <w:rStyle w:val="CommentTok"/>
        </w:rPr>
        <w:t xml:space="preserve"># prior parameterized by theta0 and w?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br/>
      </w:r>
      <w:r>
        <w:rPr>
          <w:rStyle w:val="NormalTok"/>
        </w:rPr>
        <w:t xml:space="preserve">exp.posterior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(w, theta0, y) {</w:t>
      </w:r>
      <w:r>
        <w:br/>
      </w:r>
      <w:r>
        <w:rPr>
          <w:rStyle w:val="NormalTok"/>
        </w:rPr>
        <w:t xml:space="preserve">  (N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(w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N))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(y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(w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(w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N))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theta0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Theta0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W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outer</w:t>
      </w:r>
      <w:r>
        <w:rPr>
          <w:rStyle w:val="NormalTok"/>
        </w:rPr>
        <w:t xml:space="preserve">(Theta0, W,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(w, theta0) </w:t>
      </w:r>
      <w:r>
        <w:rPr>
          <w:rStyle w:val="FunctionTok"/>
        </w:rPr>
        <w:t xml:space="preserve">exp.posterior</w:t>
      </w:r>
      <w:r>
        <w:rPr>
          <w:rStyle w:val="NormalTok"/>
        </w:rPr>
        <w:t xml:space="preserve">(w, theta0,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rownames</w:t>
      </w:r>
      <w:r>
        <w:rPr>
          <w:rStyle w:val="NormalTok"/>
        </w:rPr>
        <w:t xml:space="preserve">(d)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Theta0</w:t>
      </w:r>
      <w:r>
        <w:br/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(d)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W</w:t>
      </w:r>
      <w:r>
        <w:br/>
      </w:r>
      <w:r>
        <w:br/>
      </w:r>
      <w:r>
        <w:rPr>
          <w:rStyle w:val="NormalTok"/>
        </w:rPr>
        <w:t xml:space="preserve">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as.data.frame</w:t>
      </w:r>
      <w:r>
        <w:rPr>
          <w:rStyle w:val="NormalTok"/>
        </w:rPr>
        <w:t xml:space="preserve">(d)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tibble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rownames_to_column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'theta0'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pivot_longer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cols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theta0, </w:t>
      </w:r>
      <w:r>
        <w:rPr>
          <w:rStyle w:val="AttributeTok"/>
        </w:rPr>
        <w:t xml:space="preserve">names_to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'w'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values_to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'theta'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theta0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(theta0), </w:t>
      </w:r>
      <w:r>
        <w:rPr>
          <w:rStyle w:val="AttributeTok"/>
        </w:rPr>
        <w:t xml:space="preserve">w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(w))</w:t>
      </w:r>
      <w:r>
        <w:br/>
      </w:r>
      <w:r>
        <w:br/>
      </w:r>
      <w:r>
        <w:rPr>
          <w:rStyle w:val="NormalTok"/>
        </w:rPr>
        <w:t xml:space="preserve">p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w,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theta0, </w:t>
      </w:r>
      <w:r>
        <w:rPr>
          <w:rStyle w:val="AttributeTok"/>
        </w:rPr>
        <w:t xml:space="preserve">z =</w:t>
      </w:r>
      <w:r>
        <w:rPr>
          <w:rStyle w:val="NormalTok"/>
        </w:rPr>
        <w:t xml:space="preserve"> theta))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geom_contour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colour =</w:t>
      </w:r>
      <w:r>
        <w:rPr>
          <w:rStyle w:val="NormalTok"/>
        </w:rPr>
        <w:t xml:space="preserve"> ..level..))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(directlabels)</w:t>
      </w:r>
      <w:r>
        <w:br/>
      </w:r>
      <w:r>
        <w:rPr>
          <w:rStyle w:val="FunctionTok"/>
        </w:rPr>
        <w:t xml:space="preserve">direct.label</w:t>
      </w:r>
      <w:r>
        <w:rPr>
          <w:rStyle w:val="NormalTok"/>
        </w:rPr>
        <w:t xml:space="preserve">(p, </w:t>
      </w:r>
      <w:r>
        <w:rPr>
          <w:rStyle w:val="AttributeTok"/>
        </w:rPr>
        <w:t xml:space="preserve">method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'bottom.pieces'</w:t>
      </w:r>
      <w:r>
        <w:rPr>
          <w:rStyle w:val="NormalTok"/>
        </w:rPr>
        <w:t xml:space="preserve">)</w:t>
      </w:r>
    </w:p>
    <w:p>
      <w:pPr>
        <w:pStyle w:val="CaptionedFigure"/>
      </w:pPr>
      <w:r>
        <w:drawing>
          <wp:inline>
            <wp:extent cx="4620126" cy="3696101"/>
            <wp:effectExtent b="0" l="0" r="0" t="0"/>
            <wp:docPr descr="Expected value of the posterior for theta, for combinations of theta0 and w" title="" id="33" name="Picture"/>
            <a:graphic>
              <a:graphicData uri="http://schemas.openxmlformats.org/drawingml/2006/picture">
                <pic:pic>
                  <pic:nvPicPr>
                    <pic:cNvPr descr="1_files/figure-docx/unnamed-chunk-4-1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Expected value of the posterior for theta, for combinations of theta0 and w</w:t>
      </w:r>
    </w:p>
    <w:bookmarkEnd w:id="35"/>
    <w:bookmarkStart w:id="36" w:name="comparison-to-non-bayesian-methods"/>
    <w:p>
      <w:pPr>
        <w:pStyle w:val="Heading2"/>
      </w:pPr>
      <w:r>
        <w:t xml:space="preserve">3.2 Comparison to non-Bayesian methods</w:t>
      </w:r>
    </w:p>
    <w:p>
      <w:pPr>
        <w:pStyle w:val="FirstParagraph"/>
      </w:pPr>
      <w:r>
        <w:t xml:space="preserve">When we use the frequentist maximum likelihood estimator, we get an estimated</w:t>
      </w:r>
      <w:r>
        <w:t xml:space="preserve"> </w:t>
      </w:r>
      <m:oMath>
        <m:sSub>
          <m:e>
            <m:r>
              <m:t>θ</m:t>
            </m:r>
          </m:e>
          <m:sub>
            <m:r>
              <m:t>M</m:t>
            </m:r>
            <m:r>
              <m:t>L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 Since our estimate is subject to sampling error, we commonly</w:t>
      </w:r>
      <w:r>
        <w:t xml:space="preserve"> </w:t>
      </w:r>
      <w:r>
        <w:t xml:space="preserve">construct confidence intervals for these estimates.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Wald interval</w:t>
      </w:r>
      <w:r>
        <w:t xml:space="preserve"> </w:t>
      </w:r>
      <w:r>
        <w:t xml:space="preserve">is a commonly used confidene interval for a population</w:t>
      </w:r>
      <w:r>
        <w:t xml:space="preserve"> </w:t>
      </w:r>
      <w:r>
        <w:t xml:space="preserve">proportion. However, it is not meant to be used for small sample sizes or</w:t>
      </w:r>
      <w:r>
        <w:t xml:space="preserve"> </w:t>
      </w:r>
      <w:r>
        <w:t xml:space="preserve">situations in which the observed proportion is close to (or equals) 0 or 1,</w:t>
      </w:r>
      <w:r>
        <w:t xml:space="preserve"> </w:t>
      </w:r>
      <w:r>
        <w:t xml:space="preserve">since in these cases the error of a binomially-distributed observation is not</w:t>
      </w:r>
      <w:r>
        <w:t xml:space="preserve"> </w:t>
      </w:r>
      <w:r>
        <w:t xml:space="preserve">at all like the normal distribution For an observation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20</m:t>
        </m:r>
      </m:oMath>
      <w:r>
        <w:t xml:space="preserve">, for example,</w:t>
      </w:r>
      <w:r>
        <w:t xml:space="preserve"> </w:t>
      </w:r>
      <w:r>
        <w:t xml:space="preserve">the Wald CI is, regardless of level of confidence, just</w:t>
      </w:r>
      <w:r>
        <w:t xml:space="preserve"> </w:t>
      </w:r>
      <m:oMath>
        <m:r>
          <m:t>0</m:t>
        </m:r>
      </m:oMath>
      <w:r>
        <w:t xml:space="preserve">. We wouldn’t want</w:t>
      </w:r>
      <w:r>
        <w:t xml:space="preserve"> </w:t>
      </w:r>
      <w:r>
        <w:t xml:space="preserve">to say with 99.999% confidence that the population mean is 0, given our small</w:t>
      </w:r>
      <w:r>
        <w:t xml:space="preserve"> </w:t>
      </w:r>
      <w:r>
        <w:t xml:space="preserve">sample size.</w:t>
      </w:r>
    </w:p>
    <w:p>
      <w:pPr>
        <w:pStyle w:val="BodyText"/>
      </w:pPr>
      <w:r>
        <w:t xml:space="preserve">The previous Bayesian estimate, however, works well for both small and large n. </w:t>
      </w:r>
      <w:r>
        <w:t xml:space="preserve"> </w:t>
      </w:r>
      <w:r>
        <w:t xml:space="preserve">With small</w:t>
      </w:r>
      <w:r>
        <w:t xml:space="preserve"> </w:t>
      </w:r>
      <m:oMath>
        <m:r>
          <m:t>n</m:t>
        </m:r>
      </m:oMath>
      <w:r>
        <w:t xml:space="preserve">, the estimator allows us to encode prior beliefs about the true</w:t>
      </w:r>
      <w:r>
        <w:t xml:space="preserve"> </w:t>
      </w:r>
      <w:r>
        <w:t xml:space="preserve">proportion. With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as before: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θ</m:t>
              </m:r>
            </m:e>
          </m:acc>
          <m:r>
            <m:rPr>
              <m:sty m:val="p"/>
            </m:rPr>
            <m:t>=</m:t>
          </m:r>
          <m:r>
            <m:rPr>
              <m:sty m:val="p"/>
              <m:scr m:val="double-struck"/>
            </m:rPr>
            <m:t>E</m:t>
          </m:r>
          <m:d>
            <m:dPr>
              <m:begChr m:val="("/>
              <m:sepChr m:val=""/>
              <m:endChr m:val=")"/>
              <m:grow/>
            </m:dPr>
            <m:e>
              <m:r>
                <m:t>θ</m:t>
              </m:r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</m:num>
            <m:den>
              <m:r>
                <m:t>n</m:t>
              </m:r>
              <m:r>
                <m:rPr>
                  <m:sty m:val="p"/>
                </m:rPr>
                <m:t>+</m:t>
              </m:r>
              <m:r>
                <m:t>w</m:t>
              </m:r>
            </m:den>
          </m:f>
          <m:f>
            <m:fPr>
              <m:type m:val="bar"/>
            </m:fPr>
            <m:num>
              <m:r>
                <m:t>y</m:t>
              </m:r>
            </m:num>
            <m:den>
              <m:r>
                <m:t>n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w</m:t>
              </m:r>
            </m:num>
            <m:den>
              <m:r>
                <m:t>n</m:t>
              </m:r>
              <m:r>
                <m:rPr>
                  <m:sty m:val="p"/>
                </m:rPr>
                <m:t>+</m:t>
              </m:r>
              <m:r>
                <m:t>w</m:t>
              </m:r>
            </m:den>
          </m:f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Notice that this is kind of an average between the prior expectation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the observed proportion of the data</w:t>
      </w:r>
      <w:r>
        <w:t xml:space="preserve"> </w:t>
      </w:r>
      <m:oMath>
        <m:f>
          <m:fPr>
            <m:type m:val="bar"/>
          </m:fPr>
          <m:num>
            <m:r>
              <m:t>y</m:t>
            </m:r>
          </m:num>
          <m:den>
            <m:r>
              <m:t>n</m:t>
            </m:r>
          </m:den>
        </m:f>
      </m:oMath>
      <w:r>
        <w:t xml:space="preserve">, weighted by the amount</w:t>
      </w:r>
      <w:r>
        <w:t xml:space="preserve"> </w:t>
      </w:r>
      <w:r>
        <w:t xml:space="preserve">of data</w:t>
      </w:r>
      <w:r>
        <w:t xml:space="preserve"> </w:t>
      </w:r>
      <m:oMath>
        <m:r>
          <m:t>n</m:t>
        </m:r>
      </m:oMath>
      <w:r>
        <w:t xml:space="preserve">. For large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becomes dominated by the data,</w:t>
      </w:r>
      <w:r>
        <w:t xml:space="preserve"> </w:t>
      </w:r>
      <w:r>
        <w:t xml:space="preserve">regardless of prior estimate and confidence.</w:t>
      </w:r>
    </w:p>
    <w:p>
      <w:pPr>
        <w:pStyle w:val="BodyText"/>
      </w:pPr>
      <w:r>
        <w:t xml:space="preserve">Theoretical details on the properties of Bayesian estimators are covered later</w:t>
      </w:r>
      <w:r>
        <w:t xml:space="preserve"> </w:t>
      </w:r>
      <w:r>
        <w:t xml:space="preserve">in Section 5.4.</w:t>
      </w:r>
    </w:p>
    <w:bookmarkEnd w:id="36"/>
    <w:bookmarkEnd w:id="37"/>
    <w:bookmarkStart w:id="39" w:name="example-2-building-a-predictive-model"/>
    <w:p>
      <w:pPr>
        <w:pStyle w:val="Heading1"/>
      </w:pPr>
      <w:r>
        <w:t xml:space="preserve">4. Example 2: Building a predictive model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brief synopsis of an example in Chapter 9, where we want to build a</w:t>
      </w:r>
      <w:r>
        <w:t xml:space="preserve"> </w:t>
      </w:r>
      <w:r>
        <w:t xml:space="preserve">predictive model of diabeates progression from 64 variables such as age, sex and</w:t>
      </w:r>
      <w:r>
        <w:t xml:space="preserve"> </w:t>
      </w:r>
      <w:r>
        <w:t xml:space="preserve">BMI.</w:t>
      </w:r>
    </w:p>
    <w:p>
      <w:pPr>
        <w:pStyle w:val="BodyText"/>
      </w:pPr>
      <w:r>
        <w:t xml:space="preserve">We use a linear regression model, where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the disease progression of</w:t>
      </w:r>
      <w:r>
        <w:t xml:space="preserve"> </w:t>
      </w:r>
      <w:r>
        <w:t xml:space="preserve">subject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ty m:val="b"/>
              </m:rP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i</m:t>
                </m:r>
                <m:r>
                  <m:rPr>
                    <m:sty m:val="p"/>
                  </m:rPr>
                  <m:t>,</m:t>
                </m:r>
                <m:r>
                  <m:t>64</m:t>
                </m:r>
              </m:sub>
            </m:sSub>
          </m:e>
        </m:d>
      </m:oMath>
      <w:r>
        <w:t xml:space="preserve"> </w:t>
      </w:r>
      <w:r>
        <w:t xml:space="preserve">is a 64-dimensional</w:t>
      </w:r>
      <w:r>
        <w:t xml:space="preserve"> </w:t>
      </w:r>
      <w:r>
        <w:t xml:space="preserve">vector. With unknown coefficient</w:t>
      </w:r>
      <w:r>
        <w:t xml:space="preserve"> </w:t>
      </w:r>
      <m:oMath>
        <m:sSub>
          <m:e>
            <m:r>
              <m:t>β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 the error term</w:t>
      </w:r>
      <w:r>
        <w:t xml:space="preserve"> </w:t>
      </w:r>
      <m:oMath>
        <m:r>
          <m:t>σ</m:t>
        </m:r>
      </m:oMath>
      <w:r>
        <w:t xml:space="preserve">, there</w:t>
      </w:r>
      <w:r>
        <w:t xml:space="preserve"> </w:t>
      </w:r>
      <w:r>
        <w:t xml:space="preserve">are 65 unknown parameters.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sSub>
            <m:e>
              <m:r>
                <m:t>x</m:t>
              </m:r>
            </m:e>
            <m:sub>
              <m:r>
                <m:t>i</m:t>
              </m:r>
              <m:r>
                <m:rPr>
                  <m:sty m:val="p"/>
                </m:rPr>
                <m:t>,</m:t>
              </m:r>
              <m:r>
                <m:t>1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sSub>
            <m:e>
              <m:r>
                <m:t>x</m:t>
              </m:r>
            </m:e>
            <m:sub>
              <m:r>
                <m:t>i</m:t>
              </m:r>
              <m:r>
                <m:rPr>
                  <m:sty m:val="p"/>
                </m:rPr>
                <m:t>,</m:t>
              </m:r>
              <m:r>
                <m:t>2</m:t>
              </m:r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…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64</m:t>
              </m:r>
            </m:sub>
          </m:sSub>
          <m:sSub>
            <m:e>
              <m:r>
                <m:t>x</m:t>
              </m:r>
            </m:e>
            <m:sub>
              <m:r>
                <m:t>i</m:t>
              </m:r>
              <m:r>
                <m:rPr>
                  <m:sty m:val="p"/>
                </m:rPr>
                <m:t>,</m:t>
              </m:r>
              <m:r>
                <m:t>64</m:t>
              </m:r>
            </m:sub>
          </m:sSub>
          <m:r>
            <m:rPr>
              <m:sty m:val="p"/>
            </m:rPr>
            <m:t>+</m:t>
          </m:r>
          <m:r>
            <m:t>σ</m:t>
          </m:r>
          <m:sSub>
            <m:e>
              <m:r>
                <m:t>ϵ</m:t>
              </m:r>
            </m:e>
            <m:sub>
              <m:r>
                <m:t>i</m:t>
              </m:r>
            </m:sub>
          </m:sSub>
        </m:oMath>
      </m:oMathPara>
    </w:p>
    <w:p>
      <w:pPr>
        <w:pStyle w:val="FirstParagraph"/>
      </w:pPr>
      <w:r>
        <w:t xml:space="preserve">We define a sparse prior probability distribution, that most coefficients are</w:t>
      </w:r>
      <w:r>
        <w:t xml:space="preserve"> </w:t>
      </w:r>
      <w:r>
        <w:t xml:space="preserve">equal to 0. (Spike and slab models?). This allows us to conduct a Bayesian form</w:t>
      </w:r>
      <w:r>
        <w:t xml:space="preserve"> </w:t>
      </w:r>
      <w:r>
        <w:t xml:space="preserve">of</w:t>
      </w:r>
      <w:r>
        <w:t xml:space="preserve"> </w:t>
      </w:r>
      <w:r>
        <w:rPr>
          <w:b/>
          <w:bCs/>
        </w:rPr>
        <w:t xml:space="preserve">feature selection</w:t>
      </w:r>
      <w:r>
        <w:t xml:space="preserve"> </w:t>
      </w:r>
      <w:r>
        <w:t xml:space="preserve">where we evaluate the probability that a specific</w:t>
      </w:r>
      <w:r>
        <w:t xml:space="preserve"> </w:t>
      </w:r>
      <m:oMath>
        <m:sSub>
          <m:e>
            <m:r>
              <m:t>β</m:t>
            </m:r>
          </m:e>
          <m:sub>
            <m:r>
              <m:t>i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given the data</w:t>
      </w:r>
      <w:r>
        <w:t xml:space="preserve"> </w:t>
      </w:r>
      <m:oMath>
        <m:r>
          <m:rPr>
            <m:sty m:val="b"/>
          </m:rPr>
          <m:t>y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y</m:t>
                </m:r>
              </m:e>
              <m:sub>
                <m:r>
                  <m:t>342</m:t>
                </m:r>
              </m:sub>
            </m:sSub>
          </m:e>
        </m:d>
      </m:oMath>
      <w:r>
        <w:t xml:space="preserve"> </w:t>
      </w:r>
      <w:r>
        <w:t xml:space="preserve">and</w:t>
      </w:r>
      <w:r>
        <w:t xml:space="preserve"> </w:t>
      </w:r>
      <w:r>
        <w:t xml:space="preserve">predictors</w:t>
      </w:r>
      <w:r>
        <w:t xml:space="preserve"> </w:t>
      </w:r>
      <m:oMath>
        <m:r>
          <m:rPr>
            <m:sty m:val="b"/>
          </m:rPr>
          <m:t>X</m:t>
        </m:r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ty m:val="b"/>
                  </m:rP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rPr>
                    <m:sty m:val="b"/>
                  </m:rPr>
                  <m:t>x</m:t>
                </m:r>
              </m:e>
              <m:sub>
                <m:r>
                  <m:t>342</m:t>
                </m:r>
              </m:sub>
            </m:sSub>
          </m:e>
        </m:d>
      </m:oMath>
      <w:r>
        <w:t xml:space="preserve">.</w:t>
      </w:r>
    </w:p>
    <w:bookmarkStart w:id="38" w:name="Xe843bb06dd56dfce976944e051a633caaf26e25"/>
    <w:p>
      <w:pPr>
        <w:pStyle w:val="Heading2"/>
      </w:pPr>
      <w:r>
        <w:t xml:space="preserve">4.1 Bayesian regression does better than standard linear regression</w:t>
      </w:r>
    </w:p>
    <w:p>
      <w:pPr>
        <w:pStyle w:val="FirstParagraph"/>
      </w:pPr>
      <w:r>
        <w:t xml:space="preserve">The standard ordinary least squares (OLS) estimate of</w:t>
      </w:r>
      <w:r>
        <w:t xml:space="preserve"> </w:t>
      </w:r>
      <m:oMath>
        <m:r>
          <m:rPr>
            <m:sty m:val="b"/>
          </m:rPr>
          <m:t>β</m:t>
        </m:r>
      </m:oMath>
      <w:r>
        <w:t xml:space="preserve"> </w:t>
      </w:r>
      <w:r>
        <w:t xml:space="preserve">does</w:t>
      </w:r>
      <w:r>
        <w:t xml:space="preserve"> </w:t>
      </w:r>
      <w:r>
        <w:t xml:space="preserve">worse than the Bayesian method on the test set. This is due to overfitting, and</w:t>
      </w:r>
      <w:r>
        <w:t xml:space="preserve"> </w:t>
      </w:r>
      <w:r>
        <w:t xml:space="preserve">OLS’s</w:t>
      </w:r>
      <w:r>
        <w:t xml:space="preserve"> </w:t>
      </w:r>
      <w:r>
        <w:t xml:space="preserve">“inability to recognize when the sample size is too small to accurately</w:t>
      </w:r>
      <w:r>
        <w:t xml:space="preserve"> </w:t>
      </w:r>
      <w:r>
        <w:t xml:space="preserve">estimate the regression coefficients.”</w:t>
      </w:r>
    </w:p>
    <w:p>
      <w:pPr>
        <w:pStyle w:val="BodyText"/>
      </w:pPr>
      <w:r>
        <w:t xml:space="preserve">Sparse linear regression models are key</w:t>
      </w:r>
      <w:r>
        <w:t xml:space="preserve"> </w:t>
      </w:r>
      <w:r>
        <w:t xml:space="preserve">here, and the Bayesian sparsity prior performs well; the common lasso technique</w:t>
      </w:r>
      <w:r>
        <w:t xml:space="preserve"> </w:t>
      </w:r>
      <w:r>
        <w:t xml:space="preserve">introduced by</w:t>
      </w:r>
      <w:r>
        <w:t xml:space="preserve"> </w:t>
      </w:r>
      <w:r>
        <w:t xml:space="preserve">Tibshirani (1996)</w:t>
      </w:r>
      <w:r>
        <w:t xml:space="preserve"> </w:t>
      </w:r>
      <w:r>
        <w:t xml:space="preserve">is also</w:t>
      </w:r>
      <w:r>
        <w:t xml:space="preserve"> </w:t>
      </w:r>
      <w:r>
        <w:t xml:space="preserve">popular, but this in fact corresponds to Bayesian methods for a special case.</w:t>
      </w:r>
    </w:p>
    <w:bookmarkEnd w:id="38"/>
    <w:bookmarkEnd w:id="39"/>
    <w:bookmarkStart w:id="55" w:name="next-steps"/>
    <w:p>
      <w:pPr>
        <w:pStyle w:val="Heading1"/>
      </w:pPr>
      <w:r>
        <w:t xml:space="preserve">5. Next steps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5"/>
        </w:numPr>
      </w:pPr>
      <w:r>
        <w:t xml:space="preserve">Chapter 2: probability</w:t>
      </w:r>
    </w:p>
    <w:p>
      <w:pPr>
        <w:pStyle w:val="Compact"/>
        <w:numPr>
          <w:ilvl w:val="0"/>
          <w:numId w:val="1005"/>
        </w:numPr>
      </w:pPr>
      <w:r>
        <w:t xml:space="preserve">Chapters 3, 4: One-parameter statistical models</w:t>
      </w:r>
    </w:p>
    <w:p>
      <w:pPr>
        <w:pStyle w:val="Compact"/>
        <w:numPr>
          <w:ilvl w:val="0"/>
          <w:numId w:val="1005"/>
        </w:numPr>
      </w:pPr>
      <w:r>
        <w:t xml:space="preserve">Chapters 5, 6, 7: Bayesian inference with normal models</w:t>
      </w:r>
    </w:p>
    <w:p>
      <w:pPr>
        <w:pStyle w:val="Compact"/>
        <w:numPr>
          <w:ilvl w:val="0"/>
          <w:numId w:val="1005"/>
        </w:numPr>
      </w:pPr>
      <w:r>
        <w:t xml:space="preserve">Chapters 8, 9, 10, 11, 12: Inference in more complicated statistical methods</w:t>
      </w:r>
    </w:p>
    <w:bookmarkStart w:id="54" w:name="refs"/>
    <w:bookmarkStart w:id="41" w:name="ref-bowers2012"/>
    <w:p>
      <w:pPr>
        <w:pStyle w:val="Bibliography"/>
      </w:pPr>
      <w:r>
        <w:t xml:space="preserve">Bowers, Jeffrey S., and Colin J. Davis. 2012a.</w:t>
      </w:r>
      <w:r>
        <w:t xml:space="preserve"> </w:t>
      </w:r>
      <w:r>
        <w:t xml:space="preserve">“Bayesian Just-so Stories in Psychology and Neuroscience.”</w:t>
      </w:r>
      <w:r>
        <w:t xml:space="preserve"> </w:t>
      </w:r>
      <w:r>
        <w:rPr>
          <w:i/>
          <w:iCs/>
        </w:rPr>
        <w:t xml:space="preserve">Psychological Bulletin</w:t>
      </w:r>
      <w:r>
        <w:t xml:space="preserve"> </w:t>
      </w:r>
      <w:r>
        <w:t xml:space="preserve">138 (3): 389–414.</w:t>
      </w:r>
      <w:r>
        <w:t xml:space="preserve"> </w:t>
      </w:r>
      <w:hyperlink r:id="rId40">
        <w:r>
          <w:rPr>
            <w:rStyle w:val="Hyperlink"/>
          </w:rPr>
          <w:t xml:space="preserve">https://doi.org/10.1037/a0026450</w:t>
        </w:r>
      </w:hyperlink>
      <w:r>
        <w:t xml:space="preserve">.</w:t>
      </w:r>
    </w:p>
    <w:bookmarkEnd w:id="41"/>
    <w:bookmarkStart w:id="43" w:name="ref-bowers2012reply"/>
    <w:p>
      <w:pPr>
        <w:pStyle w:val="Bibliography"/>
      </w:pPr>
      <w:r>
        <w:t xml:space="preserve">———. 2012b.</w:t>
      </w:r>
      <w:r>
        <w:t xml:space="preserve"> </w:t>
      </w:r>
      <w:r>
        <w:t xml:space="preserve">“Rejoinder to Griffiths Et Al.:</w:t>
      </w:r>
      <w:r>
        <w:t xml:space="preserve"> </w:t>
      </w:r>
      <w:r>
        <w:t xml:space="preserve">I</w:t>
      </w:r>
      <w:r>
        <w:t xml:space="preserve">n Defense of Vague-Ish Bayesianism.”</w:t>
      </w:r>
      <w:r>
        <w:t xml:space="preserve"> </w:t>
      </w:r>
      <w:r>
        <w:rPr>
          <w:i/>
          <w:iCs/>
        </w:rPr>
        <w:t xml:space="preserve">Psychological Bulletin</w:t>
      </w:r>
      <w:r>
        <w:t xml:space="preserve"> </w:t>
      </w:r>
      <w:r>
        <w:t xml:space="preserve">138 (3): 423–26.</w:t>
      </w:r>
      <w:r>
        <w:t xml:space="preserve"> </w:t>
      </w:r>
      <w:hyperlink r:id="rId42">
        <w:r>
          <w:rPr>
            <w:rStyle w:val="Hyperlink"/>
          </w:rPr>
          <w:t xml:space="preserve">https://doi.org/10.1037/a0027454</w:t>
        </w:r>
      </w:hyperlink>
      <w:r>
        <w:t xml:space="preserve">.</w:t>
      </w:r>
    </w:p>
    <w:bookmarkEnd w:id="43"/>
    <w:bookmarkStart w:id="45" w:name="ref-griffiths2012"/>
    <w:p>
      <w:pPr>
        <w:pStyle w:val="Bibliography"/>
      </w:pPr>
      <w:r>
        <w:t xml:space="preserve">Griffiths, Thomas L., Nick Chater, Dennis Norris, and Alexandre Pouget. 2012.</w:t>
      </w:r>
      <w:r>
        <w:t xml:space="preserve"> </w:t>
      </w:r>
      <w:r>
        <w:t xml:space="preserve">“Bridging Levels of Analysis for Probabilistic Models of Cognition.”</w:t>
      </w:r>
      <w:r>
        <w:t xml:space="preserve"> </w:t>
      </w:r>
      <w:r>
        <w:rPr>
          <w:i/>
          <w:iCs/>
        </w:rPr>
        <w:t xml:space="preserve">Current Directions in Psychological Science</w:t>
      </w:r>
      <w:r>
        <w:t xml:space="preserve"> </w:t>
      </w:r>
      <w:r>
        <w:t xml:space="preserve">21 (4): 263–68.</w:t>
      </w:r>
      <w:r>
        <w:t xml:space="preserve"> </w:t>
      </w:r>
      <w:hyperlink r:id="rId44">
        <w:r>
          <w:rPr>
            <w:rStyle w:val="Hyperlink"/>
          </w:rPr>
          <w:t xml:space="preserve">https://doi.org/10.1177/0963721412447619</w:t>
        </w:r>
      </w:hyperlink>
      <w:r>
        <w:t xml:space="preserve">.</w:t>
      </w:r>
    </w:p>
    <w:bookmarkEnd w:id="45"/>
    <w:bookmarkStart w:id="47" w:name="ref-griffiths2006"/>
    <w:p>
      <w:pPr>
        <w:pStyle w:val="Bibliography"/>
      </w:pPr>
      <w:r>
        <w:t xml:space="preserve">Griffiths, Thomas L., and Joshua B. Tenenbaum. 2006.</w:t>
      </w:r>
      <w:r>
        <w:t xml:space="preserve"> </w:t>
      </w:r>
      <w:r>
        <w:t xml:space="preserve">“Optimal Predictions in Everyday Cognition.”</w:t>
      </w:r>
      <w:r>
        <w:t xml:space="preserve"> </w:t>
      </w:r>
      <w:r>
        <w:rPr>
          <w:i/>
          <w:iCs/>
        </w:rPr>
        <w:t xml:space="preserve">Psychological Science</w:t>
      </w:r>
      <w:r>
        <w:t xml:space="preserve"> </w:t>
      </w:r>
      <w:r>
        <w:t xml:space="preserve">17 (9): 767–73.</w:t>
      </w:r>
      <w:r>
        <w:t xml:space="preserve"> </w:t>
      </w:r>
      <w:hyperlink r:id="rId46">
        <w:r>
          <w:rPr>
            <w:rStyle w:val="Hyperlink"/>
          </w:rPr>
          <w:t xml:space="preserve">https://doi.org/10.1111/j.1467-9280.2006.01780.x</w:t>
        </w:r>
      </w:hyperlink>
      <w:r>
        <w:t xml:space="preserve">.</w:t>
      </w:r>
    </w:p>
    <w:bookmarkEnd w:id="47"/>
    <w:bookmarkStart w:id="49" w:name="ref-resnik2010"/>
    <w:p>
      <w:pPr>
        <w:pStyle w:val="Bibliography"/>
      </w:pPr>
      <w:r>
        <w:t xml:space="preserve">Resnik, Philip, and Eric Hardisty. 2010.</w:t>
      </w:r>
      <w:r>
        <w:t xml:space="preserve"> </w:t>
      </w:r>
      <w:r>
        <w:t xml:space="preserve">“Gibbs Sampling for the Uninitiated.”</w:t>
      </w:r>
      <w:r>
        <w:t xml:space="preserve"> </w:t>
      </w:r>
      <w:r>
        <w:t xml:space="preserve">Technical Report LAMP-TR-153. University of Maryland.</w:t>
      </w:r>
      <w:r>
        <w:t xml:space="preserve"> </w:t>
      </w:r>
      <w:hyperlink r:id="rId48">
        <w:r>
          <w:rPr>
            <w:rStyle w:val="Hyperlink"/>
          </w:rPr>
          <w:t xml:space="preserve">https://www.umiacs.umd.edu/~resnik/pubs/LAMP-TR-153.pdf</w:t>
        </w:r>
      </w:hyperlink>
      <w:r>
        <w:t xml:space="preserve">.</w:t>
      </w:r>
    </w:p>
    <w:bookmarkEnd w:id="49"/>
    <w:bookmarkStart w:id="51" w:name="ref-tibshirani1996"/>
    <w:p>
      <w:pPr>
        <w:pStyle w:val="Bibliography"/>
      </w:pPr>
      <w:r>
        <w:t xml:space="preserve">Tibshirani, Robert. 1996.</w:t>
      </w:r>
      <w:r>
        <w:t xml:space="preserve"> </w:t>
      </w:r>
      <w:r>
        <w:t xml:space="preserve">“Regression Shrinkage and Selection via the</w:t>
      </w:r>
      <w:r>
        <w:t xml:space="preserve"> </w:t>
      </w:r>
      <w:r>
        <w:t xml:space="preserve">L</w:t>
      </w:r>
      <w:r>
        <w:t xml:space="preserve">asso.”</w:t>
      </w:r>
      <w:r>
        <w:t xml:space="preserve"> </w:t>
      </w:r>
      <w:r>
        <w:rPr>
          <w:i/>
          <w:iCs/>
        </w:rPr>
        <w:t xml:space="preserve">Journal of the Royal Statistical Society: Series B (Methodological)</w:t>
      </w:r>
      <w:r>
        <w:t xml:space="preserve"> </w:t>
      </w:r>
      <w:r>
        <w:t xml:space="preserve">58 (1): 267–88.</w:t>
      </w:r>
      <w:r>
        <w:t xml:space="preserve"> </w:t>
      </w:r>
      <w:hyperlink r:id="rId50">
        <w:r>
          <w:rPr>
            <w:rStyle w:val="Hyperlink"/>
          </w:rPr>
          <w:t xml:space="preserve">https://doi.org/10.1111/j.2517-6161.1996.tb02080.x</w:t>
        </w:r>
      </w:hyperlink>
      <w:r>
        <w:t xml:space="preserve">.</w:t>
      </w:r>
    </w:p>
    <w:bookmarkEnd w:id="51"/>
    <w:bookmarkStart w:id="53" w:name="ref-vanhorn2003"/>
    <w:p>
      <w:pPr>
        <w:pStyle w:val="Bibliography"/>
      </w:pPr>
      <w:r>
        <w:t xml:space="preserve">Van Horn, Kevin S. 2003.</w:t>
      </w:r>
      <w:r>
        <w:t xml:space="preserve"> </w:t>
      </w:r>
      <w:r>
        <w:t xml:space="preserve">“Constructing a Logic of Plausible Inference: A Guide to Cox’s Theorem.”</w:t>
      </w:r>
      <w:r>
        <w:t xml:space="preserve"> </w:t>
      </w:r>
      <w:hyperlink r:id="rId52">
        <w:r>
          <w:rPr>
            <w:rStyle w:val="Hyperlink"/>
          </w:rPr>
          <w:t xml:space="preserve">http://ksvanhorn.com/bayes/Papers/rcox.pdf</w:t>
        </w:r>
      </w:hyperlink>
      <w:r>
        <w:t xml:space="preserve">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52" Target="http://ksvanhorn.com/bayes/Papers/rcox.pdf" TargetMode="External" /><Relationship Type="http://schemas.openxmlformats.org/officeDocument/2006/relationships/hyperlink" Id="rId40" Target="https://doi.org/10.1037/a0026450" TargetMode="External" /><Relationship Type="http://schemas.openxmlformats.org/officeDocument/2006/relationships/hyperlink" Id="rId42" Target="https://doi.org/10.1037/a0027454" TargetMode="External" /><Relationship Type="http://schemas.openxmlformats.org/officeDocument/2006/relationships/hyperlink" Id="rId46" Target="https://doi.org/10.1111/j.1467-9280.2006.01780.x" TargetMode="External" /><Relationship Type="http://schemas.openxmlformats.org/officeDocument/2006/relationships/hyperlink" Id="rId50" Target="https://doi.org/10.1111/j.2517-6161.1996.tb02080.x" TargetMode="External" /><Relationship Type="http://schemas.openxmlformats.org/officeDocument/2006/relationships/hyperlink" Id="rId44" Target="https://doi.org/10.1177/0963721412447619" TargetMode="External" /><Relationship Type="http://schemas.openxmlformats.org/officeDocument/2006/relationships/hyperlink" Id="rId48" Target="https://www.umiacs.umd.edu/~resnik/pubs/LAMP-TR-153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http://ksvanhorn.com/bayes/Papers/rcox.pdf" TargetMode="External" /><Relationship Type="http://schemas.openxmlformats.org/officeDocument/2006/relationships/hyperlink" Id="rId40" Target="https://doi.org/10.1037/a0026450" TargetMode="External" /><Relationship Type="http://schemas.openxmlformats.org/officeDocument/2006/relationships/hyperlink" Id="rId42" Target="https://doi.org/10.1037/a0027454" TargetMode="External" /><Relationship Type="http://schemas.openxmlformats.org/officeDocument/2006/relationships/hyperlink" Id="rId46" Target="https://doi.org/10.1111/j.1467-9280.2006.01780.x" TargetMode="External" /><Relationship Type="http://schemas.openxmlformats.org/officeDocument/2006/relationships/hyperlink" Id="rId50" Target="https://doi.org/10.1111/j.2517-6161.1996.tb02080.x" TargetMode="External" /><Relationship Type="http://schemas.openxmlformats.org/officeDocument/2006/relationships/hyperlink" Id="rId44" Target="https://doi.org/10.1177/0963721412447619" TargetMode="External" /><Relationship Type="http://schemas.openxmlformats.org/officeDocument/2006/relationships/hyperlink" Id="rId48" Target="https://www.umiacs.umd.edu/~resnik/pubs/LAMP-TR-153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1: Introduction and examples</dc:title>
  <dc:creator>Jesse Mu</dc:creator>
  <cp:keywords/>
  <dcterms:created xsi:type="dcterms:W3CDTF">2026-01-09T09:20:51Z</dcterms:created>
  <dcterms:modified xsi:type="dcterms:W3CDTF">2026-01-09T09:20:51Z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omments">
    <vt:lpwstr/>
  </property>
  <property fmtid="{D5CDD505-2E9C-101B-9397-08002B2CF9AE}" pid="7" name="date">
    <vt:lpwstr>2016-09-07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