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Asymptotic notation</w:t>
      </w:r>
    </w:p>
    <w:p>
      <w:pPr>
        <w:pStyle w:val="Date"/>
      </w:pPr>
      <w:r>
        <w:t xml:space="preserve">Last modified: 2026-10-30 13:54:17 (PDT)</w:t>
      </w:r>
    </w:p>
    <w:p>
      <w:pPr>
        <w:pStyle w:val="FirstParagraph"/>
      </w:pPr>
      <w:r>
        <w:t xml:space="preserve">The cost of an algorithm depends on the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of its input.</w:t>
      </w:r>
      <w:r>
        <w:t xml:space="preserve"> </w:t>
      </w:r>
      <w:r>
        <w:t xml:space="preserve">Asymptotic notation compares how two costs grow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grows,</w:t>
      </w:r>
      <w:r>
        <w:t xml:space="preserve"> </w:t>
      </w:r>
      <w:r>
        <w:t xml:space="preserve">ignoring constant factors and small inputs.</w:t>
      </w:r>
    </w:p>
    <w:bookmarkStart w:id="13" w:name="sec-asymptotic-bounds"/>
    <w:p>
      <w:pPr>
        <w:pStyle w:val="Heading2"/>
      </w:pPr>
      <w:r>
        <w:t xml:space="preserve">1 Upper, lower and tight bounds</w:t>
      </w:r>
    </w:p>
    <w:bookmarkStart w:id="9" w:name="def-big-o"/>
    <w:p>
      <w:pPr>
        <w:pStyle w:val="FirstParagraph"/>
      </w:pPr>
      <w:r>
        <w:rPr>
          <w:b/>
          <w:bCs/>
        </w:rPr>
        <w:t xml:space="preserve">Definition 1 (Big-O notation)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functions from the positive integers to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We write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if there are a constant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an integer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such that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r>
            <m:t>c</m:t>
          </m:r>
          <m:r>
            <m:t> </m:t>
          </m:r>
          <m:r>
            <m:t>g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t> </m:t>
          </m:r>
          <m:r>
            <m:rPr>
              <m:nor/>
              <m:sty m:val="p"/>
            </m:rPr>
            <m:t>for every </m:t>
          </m:r>
          <m:r>
            <m:t>n</m:t>
          </m:r>
          <m:r>
            <m:rPr>
              <m:sty m:val="p"/>
            </m:rPr>
            <m:t>≥</m:t>
          </m:r>
          <m:sSub>
            <m:e>
              <m:r>
                <m:t>n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That is,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grows no faster than a constant multiple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once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large enough.</w:t>
      </w:r>
      <w:r>
        <w:t xml:space="preserve"> </w:t>
      </w:r>
      <w:r>
        <w:t xml:space="preserve">This is the definition of</w:t>
      </w:r>
      <w:r>
        <w:t xml:space="preserve"> </w:t>
      </w:r>
      <w:r>
        <w:t xml:space="preserve">Arora and Barak (2009, sec. 0.3)</w:t>
      </w:r>
      <w:r>
        <w:t xml:space="preserve">.</w:t>
      </w:r>
    </w:p>
    <w:bookmarkEnd w:id="9"/>
    <w:bookmarkStart w:id="10" w:name="def-big-omega"/>
    <w:p>
      <w:pPr>
        <w:pStyle w:val="BodyText"/>
      </w:pPr>
      <w:r>
        <w:rPr>
          <w:b/>
          <w:bCs/>
        </w:rPr>
        <w:t xml:space="preserve">Definition 2 (Big-Omega notation)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as in</w:t>
      </w:r>
      <w:r>
        <w:t xml:space="preserve"> 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w:r>
        <w:t xml:space="preserve">we write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if there are a constant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an integer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such that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≥</m:t>
          </m:r>
          <m:r>
            <m:t>c</m:t>
          </m:r>
          <m:r>
            <m:t> </m:t>
          </m:r>
          <m:r>
            <m:t>g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t> </m:t>
          </m:r>
          <m:r>
            <m:rPr>
              <m:nor/>
              <m:sty m:val="p"/>
            </m:rPr>
            <m:t>for every </m:t>
          </m:r>
          <m:r>
            <m:t>n</m:t>
          </m:r>
          <m:r>
            <m:rPr>
              <m:sty m:val="p"/>
            </m:rPr>
            <m:t>≥</m:t>
          </m:r>
          <m:sSub>
            <m:e>
              <m:r>
                <m:t>n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Dividing by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shows that this holds exactly when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with constant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c</m:t>
        </m:r>
      </m:oMath>
      <w:r>
        <w:t xml:space="preserve">.</w:t>
      </w:r>
    </w:p>
    <w:bookmarkEnd w:id="10"/>
    <w:bookmarkStart w:id="11" w:name="def-big-theta"/>
    <w:p>
      <w:pPr>
        <w:pStyle w:val="BodyText"/>
      </w:pPr>
      <w:r>
        <w:rPr>
          <w:b/>
          <w:bCs/>
        </w:rPr>
        <w:t xml:space="preserve">Definition 3 (Big-Theta notation)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as in</w:t>
      </w:r>
      <w:r>
        <w:t xml:space="preserve"> 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w:r>
        <w:t xml:space="preserve">we write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if both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) 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mega">
        <w:r>
          <w:rPr>
            <w:rStyle w:val="Hyperlink"/>
          </w:rPr>
          <w:t xml:space="preserve">Definition 2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grow at the same rate, up to constant factors.</w:t>
      </w:r>
    </w:p>
    <w:bookmarkEnd w:id="11"/>
    <w:bookmarkStart w:id="12" w:name="rem-big-o-equals-sign"/>
    <w:p>
      <w:pPr>
        <w:pStyle w:val="BodyText"/>
      </w:pPr>
      <w:r>
        <w:rPr>
          <w:i/>
          <w:iCs/>
        </w:rPr>
        <w:t xml:space="preserve">Remark 1</w:t>
      </w:r>
      <w:r>
        <w:t xml:space="preserve"> (The equals sign is one-way). </w:t>
      </w:r>
      <m:oMath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stands for a set of functions,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says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belongs to it.</w:t>
      </w:r>
      <w:r>
        <w:t xml:space="preserve"> </w:t>
      </w:r>
      <w:r>
        <w:t xml:space="preserve">So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true, but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the statement cannot be read from right to left.</w:t>
      </w:r>
      <w:r>
        <w:t xml:space="preserve"> </w:t>
      </w:r>
      <w:r>
        <w:t xml:space="preserve">Cormen et al. (2009, sec. 3.1)</w:t>
      </w:r>
      <w:r>
        <w:t xml:space="preserve"> </w:t>
      </w:r>
      <w:r>
        <w:t xml:space="preserve">reads the notation this way.</w:t>
      </w:r>
    </w:p>
    <w:bookmarkEnd w:id="12"/>
    <w:bookmarkEnd w:id="13"/>
    <w:bookmarkStart w:id="17" w:name="sec-asymptotic-dominance"/>
    <w:p>
      <w:pPr>
        <w:pStyle w:val="Heading2"/>
      </w:pPr>
      <w:r>
        <w:t xml:space="preserve">2 Dominance</w:t>
      </w:r>
    </w:p>
    <w:bookmarkStart w:id="14" w:name="def-little-o"/>
    <w:p>
      <w:pPr>
        <w:pStyle w:val="FirstParagraph"/>
      </w:pPr>
      <w:r>
        <w:rPr>
          <w:b/>
          <w:bCs/>
        </w:rPr>
        <w:t xml:space="preserve">Definition 4 (Little-o notation (dominates))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functions from the positive integers to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We write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if, for every constant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there is an integer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such that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r>
            <m:t>ε</m:t>
          </m:r>
          <m:r>
            <m:t> </m:t>
          </m:r>
          <m:r>
            <m:t>g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t> </m:t>
          </m:r>
          <m:r>
            <m:rPr>
              <m:nor/>
              <m:sty m:val="p"/>
            </m:rPr>
            <m:t>for every </m:t>
          </m:r>
          <m:r>
            <m:t>n</m:t>
          </m:r>
          <m:r>
            <m:rPr>
              <m:sty m:val="p"/>
            </m:rPr>
            <m:t>≥</m:t>
          </m:r>
          <m:sSub>
            <m:e>
              <m:r>
                <m:t>n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That is,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eventually smaller than any fixed fraction of</w:t>
      </w:r>
      <w:r>
        <w:t xml:space="preserve"> </w:t>
      </w:r>
      <m:oMath>
        <m:r>
          <m:t>g</m:t>
        </m:r>
      </m:oMath>
      <w:r>
        <w:t xml:space="preserve">,</w:t>
      </w:r>
      <w:r>
        <w:t xml:space="preserve"> </w:t>
      </w:r>
      <w:r>
        <w:t xml:space="preserve">which is the strict counterpart of</w:t>
      </w:r>
      <w:r>
        <w:t xml:space="preserve"> 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.</w:t>
      </w:r>
      <w:r>
        <w:t xml:space="preserve"> </w:t>
      </w:r>
      <w:r>
        <w:t xml:space="preserve">In this case we also say that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rPr>
          <w:b/>
          <w:bCs/>
        </w:rPr>
        <w:t xml:space="preserve">dominates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</w:p>
    <w:bookmarkEnd w:id="14"/>
    <w:bookmarkStart w:id="16" w:name="exm-cubic-dominates-quadratic"/>
    <w:p>
      <w:pPr>
        <w:pStyle w:val="BodyText"/>
      </w:pPr>
      <w:r>
        <w:rPr>
          <w:b/>
          <w:bCs/>
        </w:rPr>
        <w:t xml:space="preserve">Example 1</w:t>
      </w:r>
      <w:r>
        <w:t xml:space="preserve"> </w:t>
      </w:r>
      <w:r>
        <w:t xml:space="preserve"> </w:t>
      </w:r>
    </w:p>
    <w:bookmarkStart w:id="15" w:name="a-cubic-dominates-a-quadratic"/>
    <w:p>
      <w:pPr>
        <w:pStyle w:val="Heading4"/>
      </w:pPr>
      <w:r>
        <w:t xml:space="preserve">A cubic dominates a quadratic</w: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3</m:t>
            </m:r>
          </m:sup>
        </m:sSup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Choose an integer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≥</m:t>
        </m:r>
        <m:r>
          <m:t>1</m:t>
        </m:r>
        <m:r>
          <m:rPr>
            <m:sty m:val="p"/>
          </m:rPr>
          <m:t>/</m:t>
        </m:r>
        <m:r>
          <m:t>ε</m:t>
        </m:r>
      </m:oMath>
      <w:r>
        <w:t xml:space="preserve">.</w:t>
      </w:r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we have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/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ε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p>
            <m:e>
              <m:r>
                <m:t>n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r>
            <m:t> </m:t>
          </m:r>
          <m:sSup>
            <m:e>
              <m:r>
                <m:t>n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≤</m:t>
          </m:r>
          <m:r>
            <m:t>ε</m:t>
          </m:r>
          <m:r>
            <m:t> </m:t>
          </m:r>
          <m:sSup>
            <m:e>
              <m:r>
                <m:t>n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=</m:t>
          </m:r>
          <m:r>
            <m:t>ε</m:t>
          </m:r>
          <m:r>
            <m:t> </m:t>
          </m:r>
          <m:r>
            <m:t>g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Hence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def-little-o">
        <w:r>
          <w:rPr>
            <w:rStyle w:val="Hyperlink"/>
          </w:rPr>
          <w:t xml:space="preserve">Definition 4</w:t>
        </w:r>
      </w:hyperlink>
      <w:r>
        <w:t xml:space="preserve">, so</w:t>
      </w:r>
      <w:r>
        <w:t xml:space="preserve"> </w:t>
      </w:r>
      <m:oMath>
        <m:sSup>
          <m:e>
            <m:r>
              <m:t>n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dominates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.</w:t>
      </w:r>
    </w:p>
    <w:bookmarkEnd w:id="15"/>
    <w:bookmarkEnd w:id="16"/>
    <w:bookmarkEnd w:id="17"/>
    <w:bookmarkStart w:id="20" w:name="sec-asymptotic-examples"/>
    <w:p>
      <w:pPr>
        <w:pStyle w:val="Heading2"/>
      </w:pPr>
      <w:r>
        <w:t xml:space="preserve">3 Examples</w:t>
      </w:r>
    </w:p>
    <w:bookmarkStart w:id="18" w:name="exm-quadratic-big-o"/>
    <w:p>
      <w:pPr>
        <w:pStyle w:val="FirstParagraph"/>
      </w:pPr>
      <w:r>
        <w:rPr>
          <w:b/>
          <w:bCs/>
        </w:rPr>
        <w:t xml:space="preserve">Example 2 (A quadratic is</w:t>
      </w:r>
      <w:r>
        <w:rPr>
          <w:b/>
          <w:bCs/>
        </w:rPr>
        <w:t xml:space="preserve"> </w:t>
      </w:r>
      <m:oMath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but not</w:t>
      </w:r>
      <w:r>
        <w:rPr>
          <w:b/>
          <w:bCs/>
        </w:rPr>
        <w:t xml:space="preserve"> </w:t>
      </w:r>
      <m:oMath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5</m:t>
        </m:r>
      </m:oMath>
      <w:r>
        <w:t xml:space="preserve">, we have</w:t>
      </w:r>
      <w:r>
        <w:t xml:space="preserve"> </w:t>
      </w:r>
      <m:oMath>
        <m:r>
          <m:t>5</m:t>
        </m:r>
        <m:r>
          <m:t>n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⋅</m:t>
        </m:r>
        <m:r>
          <m:t>n</m:t>
        </m:r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5</m:t>
              </m:r>
              <m:r>
                <m:t>n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3</m:t>
              </m:r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, 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in</w:t>
      </w:r>
      <w:r>
        <w:t xml:space="preserve"> 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3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</m:oMath>
      <w:r>
        <w:t xml:space="preserve">, also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mega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and 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theta">
        <w:r>
          <w:rPr>
            <w:rStyle w:val="Hyperlink"/>
          </w:rPr>
          <w:t xml:space="preserve">Definition 3</w:t>
        </w:r>
      </w:hyperlink>
      <w:r>
        <w:t xml:space="preserve">).</w:t>
      </w:r>
    </w:p>
    <w:p>
      <w:pPr>
        <w:pStyle w:val="BodyText"/>
      </w:pPr>
      <w:r>
        <w:t xml:space="preserve">But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not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If it were, there would be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3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  <m:r>
          <m:t>n</m:t>
        </m:r>
        <m:r>
          <m:rPr>
            <m:sty m:val="p"/>
          </m:rPr>
          <m:t>≤</m:t>
        </m:r>
        <m:r>
          <m:t>c</m:t>
        </m:r>
        <m:r>
          <m:t> </m:t>
        </m:r>
        <m:r>
          <m:t>n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Dividing both sides by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≤</m:t>
        </m:r>
        <m:r>
          <m:t>c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which fails for any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larger than both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c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</w:p>
    <w:bookmarkEnd w:id="18"/>
    <w:bookmarkStart w:id="19" w:name="exm-inner-product-cost"/>
    <w:p>
      <w:pPr>
        <w:pStyle w:val="BodyText"/>
      </w:pPr>
      <w:r>
        <w:rPr>
          <w:b/>
          <w:bCs/>
        </w:rPr>
        <w:t xml:space="preserve">Example 3 (Counting the operations in an inner product)</w:t>
      </w:r>
      <w:r>
        <w:t xml:space="preserve"> </w:t>
      </w:r>
      <w:r>
        <w:t xml:space="preserve">The inner product of two vectors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\mathord{\smash[b]{\underset{\raise.3ex\hbox{$\scriptstyle\sim$}}{z}}\vphantom{z}}\in \mathbb{R}^D$</w:t>
      </w:r>
      <w:r>
        <w:t xml:space="preserve"> </w:t>
      </w:r>
      <w:r>
        <w:t xml:space="preserve">is</w:t>
      </w:r>
    </w:p>
    <w:p>
      <w:pPr>
        <w:pStyle w:val="BodyText"/>
      </w:pPr>
      <w:r>
        <w:t xml:space="preserve">$$\mathord{\smash[b]{\underset{\raise.3ex\hbox{$\scriptstyle\sim$}}{x}}\vphantom{x}}^\top \mathord{\smash[b]{\underset{\raise.3ex\hbox{$\scriptstyle\sim$}}{z}}\vphantom{z}}= x_1 z_1 + x_2 z_2 + \cdots + x_D z_D.$$</w:t>
      </w:r>
    </w:p>
    <w:p>
      <w:pPr>
        <w:pStyle w:val="FirstParagraph"/>
      </w:pPr>
      <w:r>
        <w:t xml:space="preserve">Computing it takes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multiplications, one for each product</w:t>
      </w:r>
      <w:r>
        <w:t xml:space="preserve"> </w:t>
      </w:r>
      <m:oMath>
        <m:sSub>
          <m:e>
            <m:r>
              <m:t>x</m:t>
            </m:r>
          </m:e>
          <m:sub>
            <m:r>
              <m:t>d</m:t>
            </m:r>
          </m:sub>
        </m:sSub>
        <m:sSub>
          <m:e>
            <m:r>
              <m:t>z</m:t>
            </m:r>
          </m:e>
          <m:sub>
            <m:r>
              <m:t>d</m:t>
            </m:r>
          </m:sub>
        </m:sSub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D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additions to sum the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products:</w:t>
      </w:r>
      <w:r>
        <w:t xml:space="preserve"> </w:t>
      </w:r>
      <m:oMath>
        <m:r>
          <m:t>2</m:t>
        </m:r>
        <m:r>
          <m:t>D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arithmetic operations in all.</w:t>
      </w:r>
      <w:r>
        <w:t xml:space="preserve"> </w:t>
      </w:r>
      <w:r>
        <w:t xml:space="preserve">Since</w:t>
      </w:r>
      <w:r>
        <w:t xml:space="preserve"> </w:t>
      </w:r>
      <m:oMath>
        <m:r>
          <m:t>2</m:t>
        </m:r>
        <m:r>
          <m:t>D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2</m:t>
        </m:r>
        <m:r>
          <m:t>D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D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w:r>
        <w:t xml:space="preserve">the cost is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)</m:t>
        </m:r>
      </m:oMath>
      <w:r>
        <w:t xml:space="preserve">, with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in the role of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</w:t>
      </w:r>
      <w:r>
        <w:t xml:space="preserve"> 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2</m:t>
        </m:r>
        <m:r>
          <m:t>D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≥</m:t>
        </m:r>
        <m:r>
          <m:t>D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D</m:t>
        </m:r>
        <m:r>
          <m:rPr>
            <m:sty m:val="p"/>
          </m:rPr>
          <m:t>≥</m:t>
        </m:r>
        <m:r>
          <m:t>1</m:t>
        </m:r>
      </m:oMath>
      <w:r>
        <w:t xml:space="preserve">, it is also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mega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so it is</w:t>
      </w:r>
      <w:r>
        <w:t xml:space="preserve"> </w:t>
      </w:r>
      <m:oMath>
        <m:r>
          <m:rPr>
            <m:sty m:val="p"/>
          </m:rPr>
          <m:t>Θ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theta">
        <w:r>
          <w:rPr>
            <w:rStyle w:val="Hyperlink"/>
          </w:rPr>
          <w:t xml:space="preserve">Definition 3</w:t>
        </w:r>
      </w:hyperlink>
      <w:r>
        <w:t xml:space="preserve">).</w:t>
      </w:r>
      <w:r>
        <w:t xml:space="preserve"> </w:t>
      </w:r>
      <w:r>
        <w:t xml:space="preserve">When a machine learning text says an inner product</w:t>
      </w:r>
      <w:r>
        <w:t xml:space="preserve"> </w:t>
      </w:r>
      <w:r>
        <w:t xml:space="preserve">“costs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)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it means this count of operations, up to a constant factor.</w:t>
      </w:r>
    </w:p>
    <w:bookmarkEnd w:id="19"/>
    <w:bookmarkEnd w:id="20"/>
    <w:bookmarkStart w:id="25" w:name="references"/>
    <w:p>
      <w:pPr>
        <w:pStyle w:val="Heading2"/>
      </w:pPr>
      <w:r>
        <w:t xml:space="preserve">References</w:t>
      </w:r>
    </w:p>
    <w:bookmarkStart w:id="24" w:name="refs"/>
    <w:bookmarkStart w:id="22" w:name="ref-arora2009computational"/>
    <w:p>
      <w:pPr>
        <w:pStyle w:val="Bibliography"/>
      </w:pPr>
      <w:r>
        <w:t xml:space="preserve">Arora, Sanjeev, and Boaz Barak. 2009.</w:t>
      </w:r>
      <w:r>
        <w:t xml:space="preserve"> </w:t>
      </w:r>
      <w:r>
        <w:rPr>
          <w:i/>
          <w:iCs/>
        </w:rPr>
        <w:t xml:space="preserve">Computational Complexity: A Modern Approach</w:t>
      </w:r>
      <w:r>
        <w:t xml:space="preserve">. Cambridge University Press.</w:t>
      </w:r>
      <w:r>
        <w:t xml:space="preserve"> </w:t>
      </w:r>
      <w:hyperlink r:id="rId21">
        <w:r>
          <w:rPr>
            <w:rStyle w:val="Hyperlink"/>
          </w:rPr>
          <w:t xml:space="preserve">https://doi.org/10.1017/CBO9780511804090</w:t>
        </w:r>
      </w:hyperlink>
      <w:r>
        <w:t xml:space="preserve">.</w:t>
      </w:r>
    </w:p>
    <w:bookmarkEnd w:id="22"/>
    <w:bookmarkStart w:id="23" w:name="ref-cormen2009introduction"/>
    <w:p>
      <w:pPr>
        <w:pStyle w:val="Bibliography"/>
      </w:pPr>
      <w:r>
        <w:t xml:space="preserve">Cormen, Thomas H., Charles E. Leiserson, Ronald L. Rivest, and Clifford Stein. 2009.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. 3rd ed. MIT Press.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https://doi.org/10.1017/CBO978051180409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doi.org/10.1017/CBO978051180409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Asymptotic notation</dc:title>
  <dc:creator/>
  <cp:keywords/>
  <dcterms:created xsi:type="dcterms:W3CDTF">2026-10-30T20:55:46Z</dcterms:created>
  <dcterms:modified xsi:type="dcterms:W3CDTF">2026-10-30T20:55:46Z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2026-10-30 13:54:17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